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B67DD8" w:rsidRPr="00B67DD8" w:rsidP="00B67DD8" w14:paraId="73F5EDBF" w14:textId="77777777">
      <w:pPr>
        <w:widowControl/>
        <w:tabs>
          <w:tab w:val="left" w:pos="-1440"/>
          <w:tab w:val="left" w:pos="-720"/>
          <w:tab w:val="left" w:pos="1440"/>
          <w:tab w:val="left" w:pos="4608"/>
          <w:tab w:val="left" w:pos="5472"/>
          <w:tab w:val="left" w:pos="6480"/>
          <w:tab w:val="left" w:pos="7056"/>
        </w:tabs>
        <w:suppressAutoHyphens/>
        <w:jc w:val="center"/>
        <w:rPr>
          <w:rFonts w:ascii="Arial" w:hAnsi="Arial" w:eastAsiaTheme="minorHAnsi" w:cs="Arial"/>
          <w:b/>
          <w:snapToGrid/>
          <w:sz w:val="18"/>
          <w:szCs w:val="18"/>
        </w:rPr>
      </w:pPr>
      <w:r w:rsidRPr="00B67DD8">
        <w:rPr>
          <w:rFonts w:ascii="Arial" w:hAnsi="Arial" w:eastAsiaTheme="minorHAnsi" w:cs="Arial"/>
          <w:b/>
          <w:snapToGrid/>
          <w:sz w:val="18"/>
          <w:szCs w:val="18"/>
        </w:rPr>
        <w:t>BOROUGH OF RIVERTON</w:t>
      </w:r>
    </w:p>
    <w:p w:rsidR="00B67DD8" w:rsidRPr="00B67DD8" w:rsidP="00B67DD8" w14:paraId="3CAEB0CC" w14:textId="77777777">
      <w:pPr>
        <w:widowControl/>
        <w:suppressAutoHyphens/>
        <w:jc w:val="center"/>
        <w:rPr>
          <w:rFonts w:ascii="Arial" w:hAnsi="Arial" w:eastAsiaTheme="minorHAnsi" w:cs="Arial"/>
          <w:b/>
          <w:snapToGrid/>
          <w:sz w:val="18"/>
          <w:szCs w:val="18"/>
        </w:rPr>
      </w:pPr>
      <w:r w:rsidRPr="00B67DD8">
        <w:rPr>
          <w:rFonts w:ascii="Arial" w:hAnsi="Arial" w:eastAsiaTheme="minorHAnsi" w:cs="Arial"/>
          <w:b/>
          <w:snapToGrid/>
          <w:sz w:val="18"/>
          <w:szCs w:val="18"/>
        </w:rPr>
        <w:t>IN THE COUNTY OF BURLINGTON, STATE OF NEW JERSEY</w:t>
      </w:r>
    </w:p>
    <w:p w:rsidR="00B67DD8" w:rsidRPr="00B67DD8" w:rsidP="00B67DD8" w14:paraId="14C1580E" w14:textId="77777777">
      <w:pPr>
        <w:widowControl/>
        <w:tabs>
          <w:tab w:val="left" w:pos="-1440"/>
          <w:tab w:val="left" w:pos="-720"/>
          <w:tab w:val="left" w:pos="1440"/>
          <w:tab w:val="left" w:pos="4608"/>
          <w:tab w:val="left" w:pos="5472"/>
          <w:tab w:val="left" w:pos="6480"/>
          <w:tab w:val="left" w:pos="7056"/>
        </w:tabs>
        <w:suppressAutoHyphens/>
        <w:jc w:val="both"/>
        <w:rPr>
          <w:rFonts w:ascii="Arial" w:hAnsi="Arial" w:eastAsiaTheme="minorHAnsi" w:cs="Arial"/>
          <w:snapToGrid/>
          <w:sz w:val="18"/>
          <w:szCs w:val="18"/>
        </w:rPr>
      </w:pPr>
    </w:p>
    <w:p w:rsidR="00B67DD8" w:rsidP="00B67DD8" w14:paraId="585BD1AC" w14:textId="77777777">
      <w:pPr>
        <w:widowControl/>
        <w:suppressAutoHyphens/>
        <w:jc w:val="center"/>
        <w:rPr>
          <w:rFonts w:ascii="Arial" w:hAnsi="Arial" w:eastAsiaTheme="minorHAnsi" w:cs="Arial"/>
          <w:b/>
          <w:snapToGrid/>
          <w:sz w:val="18"/>
          <w:szCs w:val="18"/>
        </w:rPr>
      </w:pPr>
      <w:r w:rsidRPr="00B67DD8">
        <w:rPr>
          <w:rFonts w:ascii="Arial" w:hAnsi="Arial" w:eastAsiaTheme="minorHAnsi" w:cs="Arial"/>
          <w:b/>
          <w:snapToGrid/>
          <w:sz w:val="18"/>
          <w:szCs w:val="18"/>
        </w:rPr>
        <w:t>NOTICE OF SALE</w:t>
      </w:r>
    </w:p>
    <w:p w:rsidR="00B67DD8" w:rsidRPr="00B67DD8" w:rsidP="00B67DD8" w14:paraId="4E381AB7" w14:textId="77777777">
      <w:pPr>
        <w:widowControl/>
        <w:suppressAutoHyphens/>
        <w:jc w:val="center"/>
        <w:rPr>
          <w:rFonts w:ascii="Arial" w:hAnsi="Arial" w:eastAsiaTheme="minorHAnsi" w:cs="Arial"/>
          <w:b/>
          <w:snapToGrid/>
          <w:sz w:val="18"/>
          <w:szCs w:val="18"/>
        </w:rPr>
      </w:pPr>
    </w:p>
    <w:p w:rsidR="00B67DD8" w:rsidRPr="00B67DD8" w:rsidP="00B67DD8" w14:paraId="4F9294CD" w14:textId="77777777">
      <w:pPr>
        <w:widowControl/>
        <w:suppressAutoHyphens/>
        <w:jc w:val="center"/>
        <w:rPr>
          <w:rFonts w:ascii="Arial" w:hAnsi="Arial" w:eastAsiaTheme="minorHAnsi" w:cs="Arial"/>
          <w:b/>
          <w:snapToGrid/>
          <w:sz w:val="18"/>
          <w:szCs w:val="18"/>
        </w:rPr>
      </w:pPr>
      <w:r w:rsidRPr="00B67DD8">
        <w:rPr>
          <w:rFonts w:ascii="Arial" w:hAnsi="Arial" w:eastAsiaTheme="minorHAnsi" w:cs="Arial"/>
          <w:b/>
          <w:snapToGrid/>
          <w:sz w:val="18"/>
          <w:szCs w:val="18"/>
        </w:rPr>
        <w:t>$2,342,000</w:t>
      </w:r>
      <w:r>
        <w:rPr>
          <w:rFonts w:ascii="Symbol" w:hAnsi="Symbol" w:eastAsiaTheme="minorHAnsi" w:cs="Arial"/>
          <w:b/>
          <w:snapToGrid/>
          <w:sz w:val="18"/>
          <w:szCs w:val="18"/>
          <w:vertAlign w:val="superscript"/>
        </w:rPr>
        <w:footnoteReference w:customMarkFollows="1" w:id="2"/>
        <w:sym w:font="Symbol" w:char="F02A"/>
      </w:r>
      <w:r w:rsidRPr="00B67DD8">
        <w:rPr>
          <w:rFonts w:ascii="Arial" w:hAnsi="Arial" w:eastAsiaTheme="minorHAnsi" w:cs="Arial"/>
          <w:b/>
          <w:snapToGrid/>
          <w:sz w:val="18"/>
          <w:szCs w:val="18"/>
        </w:rPr>
        <w:t xml:space="preserve"> GENERAL OBLIGATION BONDS, SERIES 2026</w:t>
      </w:r>
    </w:p>
    <w:p w:rsidR="00B67DD8" w:rsidRPr="00B67DD8" w:rsidP="00B67DD8" w14:paraId="456365E6" w14:textId="77777777">
      <w:pPr>
        <w:widowControl/>
        <w:spacing w:before="160" w:after="60"/>
        <w:jc w:val="center"/>
        <w:outlineLvl w:val="5"/>
        <w:rPr>
          <w:rFonts w:ascii="Arial" w:hAnsi="Arial" w:cs="Arial"/>
          <w:b/>
          <w:bCs/>
          <w:snapToGrid/>
          <w:sz w:val="18"/>
          <w:szCs w:val="18"/>
        </w:rPr>
      </w:pPr>
      <w:r w:rsidRPr="00B67DD8">
        <w:rPr>
          <w:rFonts w:ascii="Arial" w:hAnsi="Arial" w:cs="Arial"/>
          <w:b/>
          <w:bCs/>
          <w:snapToGrid/>
          <w:sz w:val="18"/>
          <w:szCs w:val="18"/>
        </w:rPr>
        <w:t>CALLABLE</w:t>
      </w:r>
    </w:p>
    <w:p w:rsidR="00B67DD8" w:rsidRPr="00B67DD8" w:rsidP="00B67DD8" w14:paraId="1148F1D6" w14:textId="77777777">
      <w:pPr>
        <w:widowControl/>
        <w:jc w:val="center"/>
        <w:rPr>
          <w:rFonts w:ascii="Arial" w:hAnsi="Arial" w:eastAsiaTheme="minorHAnsi" w:cs="Arial"/>
          <w:b/>
          <w:snapToGrid/>
          <w:sz w:val="18"/>
          <w:szCs w:val="18"/>
        </w:rPr>
      </w:pPr>
      <w:r w:rsidRPr="00B67DD8">
        <w:rPr>
          <w:rFonts w:ascii="Arial" w:hAnsi="Arial" w:eastAsiaTheme="minorHAnsi" w:cs="Arial"/>
          <w:b/>
          <w:snapToGrid/>
          <w:sz w:val="18"/>
          <w:szCs w:val="18"/>
        </w:rPr>
        <w:t>BANK QUALIFIED</w:t>
      </w:r>
    </w:p>
    <w:p w:rsidR="00B67DD8" w:rsidRPr="00B67DD8" w:rsidP="00B67DD8" w14:paraId="36726AF2" w14:textId="77777777">
      <w:pPr>
        <w:widowControl/>
        <w:rPr>
          <w:rFonts w:ascii="Times New Roman" w:hAnsi="Times New Roman" w:eastAsiaTheme="minorHAnsi" w:cstheme="minorBidi"/>
          <w:snapToGrid/>
          <w:sz w:val="18"/>
          <w:szCs w:val="18"/>
        </w:rPr>
      </w:pPr>
    </w:p>
    <w:p w:rsidR="00B67DD8" w:rsidRPr="00B67DD8" w:rsidP="00B67DD8" w14:paraId="5E7D9556" w14:textId="77777777">
      <w:pPr>
        <w:widowControl/>
        <w:jc w:val="center"/>
        <w:rPr>
          <w:rFonts w:ascii="Arial" w:hAnsi="Arial" w:eastAsiaTheme="minorHAnsi" w:cs="Arial"/>
          <w:snapToGrid/>
          <w:sz w:val="18"/>
          <w:szCs w:val="18"/>
        </w:rPr>
      </w:pPr>
      <w:r w:rsidRPr="00B67DD8">
        <w:rPr>
          <w:rFonts w:ascii="Arial" w:hAnsi="Arial" w:eastAsiaTheme="minorHAnsi" w:cs="Arial"/>
          <w:b/>
          <w:bCs/>
          <w:snapToGrid/>
          <w:sz w:val="18"/>
          <w:szCs w:val="18"/>
          <w:u w:val="single"/>
        </w:rPr>
        <w:t>SUMMARY</w:t>
      </w:r>
    </w:p>
    <w:p w:rsidR="00B67DD8" w:rsidRPr="00B67DD8" w:rsidP="00B67DD8" w14:paraId="12D6F2C4" w14:textId="77777777">
      <w:pPr>
        <w:widowControl/>
        <w:jc w:val="both"/>
        <w:rPr>
          <w:rFonts w:ascii="Arial" w:hAnsi="Arial" w:eastAsiaTheme="minorHAnsi" w:cs="Arial"/>
          <w:snapToGrid/>
          <w:sz w:val="18"/>
          <w:szCs w:val="18"/>
        </w:rPr>
      </w:pPr>
    </w:p>
    <w:p w:rsidR="00B67DD8" w:rsidRPr="00B67DD8" w:rsidP="00B67DD8" w14:paraId="5B2BF99B" w14:textId="77777777">
      <w:pPr>
        <w:widowControl/>
        <w:jc w:val="both"/>
        <w:rPr>
          <w:rFonts w:ascii="Arial" w:hAnsi="Arial" w:eastAsiaTheme="minorHAnsi" w:cs="Arial"/>
          <w:snapToGrid/>
          <w:sz w:val="18"/>
          <w:szCs w:val="18"/>
        </w:rPr>
      </w:pPr>
    </w:p>
    <w:p w:rsidR="00B67DD8" w:rsidRPr="00B67DD8" w:rsidP="00B67DD8" w14:paraId="4113962F"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ISSUER:</w:t>
      </w:r>
      <w:r w:rsidRPr="00B67DD8">
        <w:rPr>
          <w:rFonts w:ascii="Arial" w:hAnsi="Arial" w:cs="Arial"/>
          <w:snapToGrid/>
          <w:sz w:val="18"/>
          <w:szCs w:val="18"/>
        </w:rPr>
        <w:tab/>
      </w:r>
      <w:r w:rsidRPr="00B67DD8">
        <w:rPr>
          <w:rFonts w:ascii="Arial" w:hAnsi="Arial" w:cs="Arial"/>
          <w:snapToGrid/>
          <w:sz w:val="18"/>
          <w:szCs w:val="18"/>
        </w:rPr>
        <w:tab/>
        <w:t>Borough of Riverton, in the County of Burlington, State of New Jersey</w:t>
      </w:r>
    </w:p>
    <w:p w:rsidR="00B67DD8" w:rsidRPr="00B67DD8" w:rsidP="00B67DD8" w14:paraId="277571FA" w14:textId="77777777">
      <w:pPr>
        <w:widowControl/>
        <w:tabs>
          <w:tab w:val="left" w:pos="2340"/>
        </w:tabs>
        <w:ind w:left="2347" w:hanging="2347"/>
        <w:jc w:val="both"/>
        <w:rPr>
          <w:rFonts w:ascii="Arial" w:hAnsi="Arial" w:cs="Arial"/>
          <w:snapToGrid/>
          <w:sz w:val="18"/>
          <w:szCs w:val="18"/>
        </w:rPr>
      </w:pPr>
    </w:p>
    <w:p w:rsidR="00B67DD8" w:rsidRPr="00B67DD8" w:rsidP="00B67DD8" w14:paraId="5FA242AF"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PAR AMOUNT:</w:t>
      </w:r>
      <w:r w:rsidRPr="00B67DD8">
        <w:rPr>
          <w:rFonts w:ascii="Arial" w:hAnsi="Arial" w:cs="Arial"/>
          <w:snapToGrid/>
          <w:sz w:val="18"/>
          <w:szCs w:val="18"/>
        </w:rPr>
        <w:tab/>
      </w:r>
      <w:r w:rsidRPr="00B67DD8">
        <w:rPr>
          <w:rFonts w:ascii="Arial" w:hAnsi="Arial" w:cs="Arial"/>
          <w:snapToGrid/>
          <w:sz w:val="18"/>
          <w:szCs w:val="18"/>
        </w:rPr>
        <w:tab/>
        <w:t>$2,342,000* General Obligation Bonds, Series 2026</w:t>
      </w:r>
    </w:p>
    <w:p w:rsidR="00B67DD8" w:rsidRPr="00B67DD8" w:rsidP="00B67DD8" w14:paraId="6EE51C9F" w14:textId="77777777">
      <w:pPr>
        <w:widowControl/>
        <w:tabs>
          <w:tab w:val="left" w:pos="2340"/>
        </w:tabs>
        <w:ind w:left="2347" w:hanging="2347"/>
        <w:jc w:val="both"/>
        <w:rPr>
          <w:rFonts w:ascii="Arial" w:hAnsi="Arial" w:cs="Arial"/>
          <w:snapToGrid/>
          <w:sz w:val="18"/>
          <w:szCs w:val="18"/>
        </w:rPr>
      </w:pPr>
    </w:p>
    <w:p w:rsidR="00B67DD8" w:rsidRPr="00B67DD8" w:rsidP="00B67DD8" w14:paraId="6687F2ED"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FORM:</w:t>
      </w:r>
      <w:r w:rsidRPr="00B67DD8">
        <w:rPr>
          <w:rFonts w:ascii="Arial" w:hAnsi="Arial" w:cs="Arial"/>
          <w:snapToGrid/>
          <w:sz w:val="18"/>
          <w:szCs w:val="18"/>
        </w:rPr>
        <w:tab/>
        <w:t>Book-Entry</w:t>
      </w:r>
    </w:p>
    <w:p w:rsidR="00B67DD8" w:rsidRPr="00B67DD8" w:rsidP="00B67DD8" w14:paraId="087F4EFC" w14:textId="77777777">
      <w:pPr>
        <w:widowControl/>
        <w:tabs>
          <w:tab w:val="left" w:pos="2340"/>
        </w:tabs>
        <w:ind w:left="2347" w:hanging="2347"/>
        <w:jc w:val="both"/>
        <w:rPr>
          <w:rFonts w:ascii="Arial" w:hAnsi="Arial" w:cs="Arial"/>
          <w:snapToGrid/>
          <w:sz w:val="18"/>
          <w:szCs w:val="18"/>
        </w:rPr>
      </w:pPr>
    </w:p>
    <w:p w:rsidR="00B67DD8" w:rsidRPr="00B67DD8" w:rsidP="00B67DD8" w14:paraId="1705C7B5"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SECURITY:</w:t>
      </w:r>
      <w:r w:rsidRPr="00B67DD8">
        <w:rPr>
          <w:rFonts w:ascii="Arial" w:hAnsi="Arial" w:cs="Arial"/>
          <w:snapToGrid/>
          <w:sz w:val="18"/>
          <w:szCs w:val="18"/>
        </w:rPr>
        <w:tab/>
      </w:r>
      <w:r w:rsidRPr="00B67DD8">
        <w:rPr>
          <w:rFonts w:ascii="Arial" w:hAnsi="Arial" w:cs="Arial"/>
          <w:snapToGrid/>
          <w:sz w:val="18"/>
          <w:szCs w:val="18"/>
        </w:rPr>
        <w:tab/>
        <w:t>General Obligations of the Borough</w:t>
      </w:r>
    </w:p>
    <w:p w:rsidR="00B67DD8" w:rsidRPr="00B67DD8" w:rsidP="00B67DD8" w14:paraId="53CB1A08" w14:textId="77777777">
      <w:pPr>
        <w:widowControl/>
        <w:tabs>
          <w:tab w:val="left" w:pos="2340"/>
        </w:tabs>
        <w:ind w:left="2347" w:hanging="2347"/>
        <w:jc w:val="both"/>
        <w:rPr>
          <w:rFonts w:ascii="Arial" w:hAnsi="Arial" w:cs="Arial"/>
          <w:snapToGrid/>
          <w:sz w:val="18"/>
          <w:szCs w:val="18"/>
        </w:rPr>
      </w:pPr>
    </w:p>
    <w:p w:rsidR="00B67DD8" w:rsidRPr="00B67DD8" w:rsidP="00B67DD8" w14:paraId="31B29659"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TAX EXEMPT:</w:t>
      </w:r>
      <w:r w:rsidRPr="00B67DD8">
        <w:rPr>
          <w:rFonts w:ascii="Arial" w:hAnsi="Arial" w:cs="Arial"/>
          <w:snapToGrid/>
          <w:sz w:val="18"/>
          <w:szCs w:val="18"/>
        </w:rPr>
        <w:tab/>
      </w:r>
      <w:r w:rsidRPr="00B67DD8">
        <w:rPr>
          <w:rFonts w:ascii="Arial" w:hAnsi="Arial" w:cs="Arial"/>
          <w:snapToGrid/>
          <w:sz w:val="18"/>
          <w:szCs w:val="18"/>
        </w:rPr>
        <w:tab/>
        <w:t>Yes</w:t>
      </w:r>
    </w:p>
    <w:p w:rsidR="00B67DD8" w:rsidRPr="00B67DD8" w:rsidP="00B67DD8" w14:paraId="2B3EAE53" w14:textId="77777777">
      <w:pPr>
        <w:widowControl/>
        <w:tabs>
          <w:tab w:val="left" w:pos="2340"/>
        </w:tabs>
        <w:ind w:left="2347" w:hanging="2347"/>
        <w:jc w:val="both"/>
        <w:rPr>
          <w:rFonts w:ascii="Arial" w:hAnsi="Arial" w:cs="Arial"/>
          <w:snapToGrid/>
          <w:sz w:val="18"/>
          <w:szCs w:val="18"/>
        </w:rPr>
      </w:pPr>
    </w:p>
    <w:p w:rsidR="00B67DD8" w:rsidRPr="00B67DD8" w:rsidP="00B67DD8" w14:paraId="1EB25F66"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RATING:</w:t>
      </w:r>
      <w:r w:rsidRPr="00B67DD8">
        <w:rPr>
          <w:rFonts w:ascii="Arial" w:hAnsi="Arial" w:cs="Arial"/>
          <w:snapToGrid/>
          <w:sz w:val="18"/>
          <w:szCs w:val="18"/>
        </w:rPr>
        <w:tab/>
        <w:t>Moody’s Ratings:  Expected</w:t>
      </w:r>
    </w:p>
    <w:p w:rsidR="00B67DD8" w:rsidRPr="00B67DD8" w:rsidP="00B67DD8" w14:paraId="3C029D34" w14:textId="77777777">
      <w:pPr>
        <w:widowControl/>
        <w:tabs>
          <w:tab w:val="left" w:pos="2340"/>
        </w:tabs>
        <w:ind w:left="2347" w:hanging="2347"/>
        <w:jc w:val="both"/>
        <w:rPr>
          <w:rFonts w:ascii="Arial" w:hAnsi="Arial" w:cs="Arial"/>
          <w:snapToGrid/>
          <w:sz w:val="18"/>
          <w:szCs w:val="18"/>
        </w:rPr>
      </w:pPr>
    </w:p>
    <w:p w:rsidR="00B67DD8" w:rsidRPr="00B67DD8" w:rsidP="00B67DD8" w14:paraId="4B55A2DD"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INSURANCE:</w:t>
      </w:r>
      <w:r w:rsidRPr="00B67DD8">
        <w:rPr>
          <w:rFonts w:ascii="Arial" w:hAnsi="Arial" w:cs="Arial"/>
          <w:snapToGrid/>
          <w:sz w:val="18"/>
          <w:szCs w:val="18"/>
        </w:rPr>
        <w:tab/>
      </w:r>
      <w:r w:rsidRPr="00B67DD8">
        <w:rPr>
          <w:rFonts w:ascii="Arial" w:hAnsi="Arial" w:cs="Arial"/>
          <w:snapToGrid/>
          <w:sz w:val="18"/>
          <w:szCs w:val="18"/>
        </w:rPr>
        <w:tab/>
        <w:t>The Winning Bidder of the Bonds may, at its sole option and expense, purchase a policy of municipal bond insurance.</w:t>
      </w:r>
    </w:p>
    <w:p w:rsidR="00B67DD8" w:rsidRPr="00B67DD8" w:rsidP="00B67DD8" w14:paraId="2F55E35C" w14:textId="77777777">
      <w:pPr>
        <w:widowControl/>
        <w:tabs>
          <w:tab w:val="left" w:pos="2340"/>
        </w:tabs>
        <w:ind w:left="2347" w:hanging="2347"/>
        <w:jc w:val="both"/>
        <w:rPr>
          <w:rFonts w:ascii="Arial" w:hAnsi="Arial" w:cs="Arial"/>
          <w:snapToGrid/>
          <w:sz w:val="18"/>
          <w:szCs w:val="18"/>
        </w:rPr>
      </w:pPr>
    </w:p>
    <w:p w:rsidR="00B67DD8" w:rsidRPr="00B67DD8" w:rsidP="00B67DD8" w14:paraId="0D00098E"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TYPE OF SALE:</w:t>
      </w:r>
      <w:r w:rsidRPr="00B67DD8">
        <w:rPr>
          <w:rFonts w:ascii="Arial" w:hAnsi="Arial" w:cs="Arial"/>
          <w:snapToGrid/>
          <w:sz w:val="18"/>
          <w:szCs w:val="18"/>
        </w:rPr>
        <w:tab/>
      </w:r>
      <w:r w:rsidRPr="00B67DD8">
        <w:rPr>
          <w:rFonts w:ascii="Arial" w:hAnsi="Arial" w:cs="Arial"/>
          <w:snapToGrid/>
          <w:sz w:val="18"/>
          <w:szCs w:val="18"/>
        </w:rPr>
        <w:tab/>
        <w:t>Electronic proposals via the Parity Electronic Bid System (“PARITY”) of i-Deal LLC (“i-Deal”) (See Bidding Details herein).</w:t>
      </w:r>
    </w:p>
    <w:p w:rsidR="00B67DD8" w:rsidRPr="00B67DD8" w:rsidP="00B67DD8" w14:paraId="557B4ADA" w14:textId="77777777">
      <w:pPr>
        <w:widowControl/>
        <w:tabs>
          <w:tab w:val="left" w:pos="2340"/>
        </w:tabs>
        <w:ind w:left="2347" w:hanging="2347"/>
        <w:jc w:val="both"/>
        <w:rPr>
          <w:rFonts w:ascii="Arial" w:hAnsi="Arial" w:cs="Arial"/>
          <w:snapToGrid/>
          <w:sz w:val="18"/>
          <w:szCs w:val="18"/>
        </w:rPr>
      </w:pPr>
    </w:p>
    <w:p w:rsidR="00B67DD8" w:rsidRPr="00B67DD8" w:rsidP="00B67DD8" w14:paraId="75F364DC"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BOND SALE AGENT:</w:t>
      </w:r>
      <w:r w:rsidRPr="00B67DD8">
        <w:rPr>
          <w:rFonts w:ascii="Arial" w:hAnsi="Arial" w:cs="Arial"/>
          <w:snapToGrid/>
          <w:sz w:val="18"/>
          <w:szCs w:val="18"/>
        </w:rPr>
        <w:tab/>
        <w:t>PARITY</w:t>
      </w:r>
    </w:p>
    <w:p w:rsidR="00B67DD8" w:rsidRPr="00B67DD8" w:rsidP="00B67DD8" w14:paraId="157139B2" w14:textId="77777777">
      <w:pPr>
        <w:widowControl/>
        <w:tabs>
          <w:tab w:val="left" w:pos="2340"/>
        </w:tabs>
        <w:ind w:left="2347" w:hanging="2347"/>
        <w:jc w:val="both"/>
        <w:rPr>
          <w:rFonts w:ascii="Arial" w:hAnsi="Arial" w:cs="Arial"/>
          <w:snapToGrid/>
          <w:sz w:val="18"/>
          <w:szCs w:val="18"/>
        </w:rPr>
      </w:pPr>
    </w:p>
    <w:p w:rsidR="00B67DD8" w:rsidRPr="00B67DD8" w:rsidP="00B67DD8" w14:paraId="33BF1930"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BID/AWARD DATE:</w:t>
      </w:r>
      <w:r w:rsidRPr="00B67DD8">
        <w:rPr>
          <w:rFonts w:ascii="Arial" w:hAnsi="Arial" w:cs="Arial"/>
          <w:snapToGrid/>
          <w:sz w:val="18"/>
          <w:szCs w:val="18"/>
        </w:rPr>
        <w:tab/>
        <w:t xml:space="preserve">The Bonds are being sold on the basis of the </w:t>
      </w:r>
      <w:r w:rsidRPr="00B67DD8">
        <w:rPr>
          <w:rFonts w:ascii="Arial" w:hAnsi="Arial" w:cs="Arial"/>
          <w:snapToGrid/>
          <w:sz w:val="18"/>
          <w:szCs w:val="18"/>
          <w:u w:val="single"/>
        </w:rPr>
        <w:t>Maturity Schedule</w:t>
      </w:r>
      <w:r w:rsidRPr="00B67DD8">
        <w:rPr>
          <w:rFonts w:ascii="Arial" w:hAnsi="Arial" w:cs="Arial"/>
          <w:snapToGrid/>
          <w:sz w:val="18"/>
          <w:szCs w:val="18"/>
        </w:rPr>
        <w:t xml:space="preserve"> set forth herein on July 7, 2026 at 11:00 a.m.  Award by 2:00 p.m.</w:t>
      </w:r>
    </w:p>
    <w:p w:rsidR="00B67DD8" w:rsidRPr="00B67DD8" w:rsidP="00B67DD8" w14:paraId="453610C4" w14:textId="77777777">
      <w:pPr>
        <w:widowControl/>
        <w:tabs>
          <w:tab w:val="left" w:pos="2340"/>
        </w:tabs>
        <w:ind w:left="2347" w:hanging="2347"/>
        <w:jc w:val="both"/>
        <w:rPr>
          <w:rFonts w:ascii="Arial" w:hAnsi="Arial" w:cs="Arial"/>
          <w:snapToGrid/>
          <w:sz w:val="18"/>
          <w:szCs w:val="18"/>
        </w:rPr>
      </w:pPr>
    </w:p>
    <w:p w:rsidR="00B67DD8" w:rsidRPr="00B67DD8" w:rsidP="00B67DD8" w14:paraId="462E103C"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DATED DATE:</w:t>
      </w:r>
      <w:r w:rsidRPr="00B67DD8">
        <w:rPr>
          <w:rFonts w:ascii="Arial" w:hAnsi="Arial" w:cs="Arial"/>
          <w:snapToGrid/>
          <w:sz w:val="18"/>
          <w:szCs w:val="18"/>
        </w:rPr>
        <w:tab/>
      </w:r>
      <w:r w:rsidRPr="00B67DD8">
        <w:rPr>
          <w:rFonts w:ascii="Arial" w:hAnsi="Arial" w:cs="Arial"/>
          <w:snapToGrid/>
          <w:sz w:val="18"/>
          <w:szCs w:val="18"/>
        </w:rPr>
        <w:tab/>
        <w:t>Date of Delivery</w:t>
      </w:r>
    </w:p>
    <w:p w:rsidR="00B67DD8" w:rsidRPr="00B67DD8" w:rsidP="00B67DD8" w14:paraId="7031B040" w14:textId="77777777">
      <w:pPr>
        <w:widowControl/>
        <w:tabs>
          <w:tab w:val="left" w:pos="2340"/>
        </w:tabs>
        <w:ind w:left="2347" w:hanging="2347"/>
        <w:jc w:val="both"/>
        <w:rPr>
          <w:rFonts w:ascii="Arial" w:hAnsi="Arial" w:cs="Arial"/>
          <w:snapToGrid/>
          <w:sz w:val="18"/>
          <w:szCs w:val="18"/>
        </w:rPr>
      </w:pPr>
    </w:p>
    <w:p w:rsidR="00B67DD8" w:rsidRPr="00B67DD8" w:rsidP="00B67DD8" w14:paraId="3D437B04"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DELIVERY DATE:</w:t>
      </w:r>
      <w:r w:rsidRPr="00B67DD8">
        <w:rPr>
          <w:rFonts w:ascii="Arial" w:hAnsi="Arial" w:cs="Arial"/>
          <w:snapToGrid/>
          <w:sz w:val="18"/>
          <w:szCs w:val="18"/>
        </w:rPr>
        <w:tab/>
        <w:t>On or about July 21, 2026</w:t>
      </w:r>
    </w:p>
    <w:p w:rsidR="00B67DD8" w:rsidRPr="00B67DD8" w:rsidP="00B67DD8" w14:paraId="60D3145B" w14:textId="77777777">
      <w:pPr>
        <w:widowControl/>
        <w:tabs>
          <w:tab w:val="left" w:pos="2340"/>
        </w:tabs>
        <w:ind w:left="2347" w:hanging="2347"/>
        <w:jc w:val="both"/>
        <w:rPr>
          <w:rFonts w:ascii="Arial" w:hAnsi="Arial" w:cs="Arial"/>
          <w:snapToGrid/>
          <w:sz w:val="18"/>
          <w:szCs w:val="18"/>
        </w:rPr>
      </w:pPr>
    </w:p>
    <w:p w:rsidR="00B67DD8" w:rsidRPr="00B67DD8" w:rsidP="00B67DD8" w14:paraId="1CC0C0FA"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INTEREST PAYMENT</w:t>
      </w:r>
    </w:p>
    <w:p w:rsidR="00B67DD8" w:rsidRPr="00B67DD8" w:rsidP="00B67DD8" w14:paraId="29B7E919"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DATES:</w:t>
      </w:r>
      <w:r w:rsidRPr="00B67DD8">
        <w:rPr>
          <w:rFonts w:ascii="Arial" w:hAnsi="Arial" w:cs="Arial"/>
          <w:snapToGrid/>
          <w:sz w:val="18"/>
          <w:szCs w:val="18"/>
        </w:rPr>
        <w:tab/>
      </w:r>
      <w:r w:rsidRPr="00B67DD8">
        <w:rPr>
          <w:rFonts w:ascii="Arial" w:hAnsi="Arial" w:cs="Arial"/>
          <w:snapToGrid/>
          <w:sz w:val="18"/>
          <w:szCs w:val="18"/>
        </w:rPr>
        <w:tab/>
        <w:t>January 15 and July 15, commencing January 15, 2027</w:t>
      </w:r>
    </w:p>
    <w:p w:rsidR="00B67DD8" w:rsidRPr="00B67DD8" w:rsidP="00B67DD8" w14:paraId="0F76395B" w14:textId="77777777">
      <w:pPr>
        <w:widowControl/>
        <w:tabs>
          <w:tab w:val="left" w:pos="2340"/>
        </w:tabs>
        <w:ind w:left="2347" w:hanging="2347"/>
        <w:jc w:val="both"/>
        <w:rPr>
          <w:rFonts w:ascii="Arial" w:hAnsi="Arial" w:cs="Arial"/>
          <w:snapToGrid/>
          <w:sz w:val="18"/>
          <w:szCs w:val="18"/>
        </w:rPr>
      </w:pPr>
    </w:p>
    <w:p w:rsidR="00B67DD8" w:rsidRPr="00B67DD8" w:rsidP="00B67DD8" w14:paraId="4583004C"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MINIMUM BID:</w:t>
      </w:r>
      <w:r w:rsidRPr="00B67DD8">
        <w:rPr>
          <w:rFonts w:ascii="Arial" w:hAnsi="Arial" w:cs="Arial"/>
          <w:snapToGrid/>
          <w:sz w:val="18"/>
          <w:szCs w:val="18"/>
        </w:rPr>
        <w:tab/>
      </w:r>
      <w:r w:rsidRPr="00B67DD8">
        <w:rPr>
          <w:rFonts w:ascii="Arial" w:hAnsi="Arial" w:cs="Arial"/>
          <w:snapToGrid/>
          <w:sz w:val="18"/>
          <w:szCs w:val="18"/>
        </w:rPr>
        <w:tab/>
        <w:t>$2,342,000 (Par)</w:t>
      </w:r>
    </w:p>
    <w:p w:rsidR="00B67DD8" w:rsidRPr="00B67DD8" w:rsidP="00B67DD8" w14:paraId="4DAF2BD7" w14:textId="77777777">
      <w:pPr>
        <w:widowControl/>
        <w:tabs>
          <w:tab w:val="left" w:pos="2340"/>
        </w:tabs>
        <w:ind w:left="2347" w:hanging="2347"/>
        <w:jc w:val="both"/>
        <w:rPr>
          <w:rFonts w:ascii="Arial" w:hAnsi="Arial" w:cs="Arial"/>
          <w:snapToGrid/>
          <w:sz w:val="18"/>
          <w:szCs w:val="18"/>
        </w:rPr>
      </w:pPr>
    </w:p>
    <w:p w:rsidR="00B67DD8" w:rsidRPr="00B67DD8" w:rsidP="00B67DD8" w14:paraId="5431B4D7"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MAXIMUM BID:</w:t>
      </w:r>
      <w:r w:rsidRPr="00B67DD8">
        <w:rPr>
          <w:rFonts w:ascii="Arial" w:hAnsi="Arial" w:cs="Arial"/>
          <w:snapToGrid/>
          <w:sz w:val="18"/>
          <w:szCs w:val="18"/>
        </w:rPr>
        <w:tab/>
        <w:t>$2,459,100 (105% of Par)</w:t>
      </w:r>
    </w:p>
    <w:p w:rsidR="00B67DD8" w:rsidRPr="00B67DD8" w:rsidP="00B67DD8" w14:paraId="11F37EDD" w14:textId="77777777">
      <w:pPr>
        <w:widowControl/>
        <w:tabs>
          <w:tab w:val="left" w:pos="2340"/>
        </w:tabs>
        <w:ind w:left="2347" w:hanging="2347"/>
        <w:jc w:val="both"/>
        <w:rPr>
          <w:rFonts w:ascii="Arial" w:hAnsi="Arial" w:cs="Arial"/>
          <w:snapToGrid/>
          <w:sz w:val="18"/>
          <w:szCs w:val="18"/>
        </w:rPr>
      </w:pPr>
    </w:p>
    <w:p w:rsidR="00B67DD8" w:rsidP="00B67DD8" w14:paraId="4556A732" w14:textId="77777777">
      <w:pPr>
        <w:widowControl/>
        <w:tabs>
          <w:tab w:val="left" w:pos="2340"/>
        </w:tabs>
        <w:ind w:left="2347" w:hanging="2347"/>
        <w:jc w:val="both"/>
        <w:rPr>
          <w:rFonts w:ascii="Arial" w:hAnsi="Arial" w:cs="Arial"/>
          <w:b/>
          <w:bCs/>
          <w:snapToGrid/>
          <w:sz w:val="18"/>
          <w:szCs w:val="18"/>
          <w:u w:val="single"/>
        </w:rPr>
      </w:pPr>
      <w:r w:rsidRPr="00B67DD8">
        <w:rPr>
          <w:rFonts w:ascii="Arial" w:hAnsi="Arial" w:cs="Arial"/>
          <w:b/>
          <w:bCs/>
          <w:snapToGrid/>
          <w:sz w:val="18"/>
          <w:szCs w:val="18"/>
        </w:rPr>
        <w:t>BID SECURITY:</w:t>
      </w:r>
      <w:r w:rsidRPr="00B67DD8">
        <w:rPr>
          <w:rFonts w:ascii="Arial" w:hAnsi="Arial" w:cs="Arial"/>
          <w:b/>
          <w:bCs/>
          <w:snapToGrid/>
          <w:sz w:val="18"/>
          <w:szCs w:val="18"/>
        </w:rPr>
        <w:tab/>
      </w:r>
      <w:r w:rsidRPr="00B67DD8">
        <w:rPr>
          <w:rFonts w:ascii="Arial" w:hAnsi="Arial" w:cs="Arial"/>
          <w:b/>
          <w:bCs/>
          <w:snapToGrid/>
          <w:sz w:val="18"/>
          <w:szCs w:val="18"/>
        </w:rPr>
        <w:tab/>
      </w:r>
      <w:r w:rsidRPr="00B67DD8">
        <w:rPr>
          <w:rFonts w:ascii="Arial" w:hAnsi="Arial" w:cs="Arial"/>
          <w:b/>
          <w:bCs/>
          <w:snapToGrid/>
          <w:sz w:val="18"/>
          <w:szCs w:val="18"/>
          <w:u w:val="single"/>
        </w:rPr>
        <w:t>Good Faith Check or wire transfer in the amount of $46,840 received by the Borough prior to bidding</w:t>
      </w:r>
    </w:p>
    <w:p w:rsidR="00A2403D" w:rsidRPr="00B67DD8" w:rsidP="00B67DD8" w14:paraId="13360924" w14:textId="77777777">
      <w:pPr>
        <w:widowControl/>
        <w:tabs>
          <w:tab w:val="left" w:pos="2340"/>
        </w:tabs>
        <w:ind w:left="2347" w:hanging="2347"/>
        <w:jc w:val="both"/>
        <w:rPr>
          <w:rFonts w:ascii="Arial" w:hAnsi="Arial" w:cs="Arial"/>
          <w:b/>
          <w:bCs/>
          <w:snapToGrid/>
          <w:sz w:val="18"/>
          <w:szCs w:val="18"/>
          <w:u w:val="single"/>
        </w:rPr>
      </w:pPr>
    </w:p>
    <w:p w:rsidR="00B67DD8" w:rsidRPr="00B67DD8" w:rsidP="00B67DD8" w14:paraId="28590ADF"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BASIS OF AWARD:</w:t>
      </w:r>
      <w:r w:rsidRPr="00B67DD8">
        <w:rPr>
          <w:rFonts w:ascii="Arial" w:hAnsi="Arial" w:cs="Arial"/>
          <w:snapToGrid/>
          <w:sz w:val="18"/>
          <w:szCs w:val="18"/>
        </w:rPr>
        <w:tab/>
        <w:t>True Interest Cost</w:t>
      </w:r>
    </w:p>
    <w:p w:rsidR="00B67DD8" w:rsidRPr="00B67DD8" w:rsidP="00B67DD8" w14:paraId="7B02E174" w14:textId="77777777">
      <w:pPr>
        <w:widowControl/>
        <w:tabs>
          <w:tab w:val="left" w:pos="2340"/>
        </w:tabs>
        <w:ind w:left="2347" w:hanging="2347"/>
        <w:jc w:val="both"/>
        <w:rPr>
          <w:rFonts w:ascii="Arial" w:hAnsi="Arial" w:cs="Arial"/>
          <w:snapToGrid/>
          <w:sz w:val="18"/>
          <w:szCs w:val="18"/>
        </w:rPr>
      </w:pPr>
    </w:p>
    <w:p w:rsidR="00B67DD8" w:rsidRPr="00B67DD8" w:rsidP="00B67DD8" w14:paraId="3890142E" w14:textId="77777777">
      <w:pPr>
        <w:widowControl/>
        <w:tabs>
          <w:tab w:val="left" w:pos="2340"/>
        </w:tabs>
        <w:ind w:left="2347" w:hanging="2347"/>
        <w:jc w:val="both"/>
        <w:rPr>
          <w:rFonts w:ascii="Arial" w:hAnsi="Arial" w:cs="Arial"/>
          <w:snapToGrid/>
          <w:sz w:val="18"/>
          <w:szCs w:val="18"/>
        </w:rPr>
      </w:pPr>
      <w:r w:rsidRPr="00B67DD8">
        <w:rPr>
          <w:rFonts w:ascii="Arial" w:hAnsi="Arial" w:cs="Arial"/>
          <w:snapToGrid/>
          <w:sz w:val="18"/>
          <w:szCs w:val="18"/>
        </w:rPr>
        <w:t>OFFERING</w:t>
      </w:r>
    </w:p>
    <w:p w:rsidR="00B67DD8" w:rsidRPr="00B67DD8" w:rsidP="00B67DD8" w14:paraId="0A62F810" w14:textId="77777777">
      <w:pPr>
        <w:widowControl/>
        <w:tabs>
          <w:tab w:val="left" w:pos="2340"/>
        </w:tabs>
        <w:ind w:left="2347" w:hanging="2347"/>
        <w:jc w:val="both"/>
        <w:rPr>
          <w:rFonts w:ascii="Arial" w:hAnsi="Arial" w:cs="Arial"/>
          <w:snapToGrid/>
          <w:sz w:val="20"/>
        </w:rPr>
      </w:pPr>
      <w:r w:rsidRPr="00B67DD8">
        <w:rPr>
          <w:rFonts w:ascii="Arial" w:hAnsi="Arial" w:cs="Arial"/>
          <w:snapToGrid/>
          <w:sz w:val="18"/>
          <w:szCs w:val="18"/>
        </w:rPr>
        <w:t>STATEMENT:</w:t>
      </w:r>
      <w:r w:rsidRPr="00B67DD8">
        <w:rPr>
          <w:rFonts w:ascii="Arial" w:hAnsi="Arial" w:cs="Arial"/>
          <w:snapToGrid/>
          <w:sz w:val="18"/>
          <w:szCs w:val="18"/>
        </w:rPr>
        <w:tab/>
        <w:t xml:space="preserve">Preliminary Official Statement available at </w:t>
      </w:r>
      <w:r w:rsidRPr="00B67DD8">
        <w:rPr>
          <w:rFonts w:ascii="Arial" w:hAnsi="Arial" w:cs="Arial"/>
          <w:snapToGrid/>
          <w:sz w:val="18"/>
          <w:szCs w:val="18"/>
          <w:u w:val="single"/>
        </w:rPr>
        <w:t>https://mcelweequinn.com</w:t>
      </w:r>
      <w:r w:rsidRPr="00B67DD8">
        <w:rPr>
          <w:rFonts w:ascii="Arial" w:hAnsi="Arial" w:cs="Arial"/>
          <w:snapToGrid/>
          <w:sz w:val="18"/>
          <w:szCs w:val="18"/>
        </w:rPr>
        <w:t>.</w:t>
      </w:r>
    </w:p>
    <w:p w:rsidR="00B67DD8" w:rsidRPr="00B67DD8" w:rsidP="00B67DD8" w14:paraId="11D33F01" w14:textId="77777777">
      <w:pPr>
        <w:widowControl/>
        <w:rPr>
          <w:rFonts w:ascii="Arial" w:hAnsi="Arial" w:eastAsiaTheme="minorHAnsi" w:cs="Arial"/>
          <w:b/>
          <w:bCs/>
          <w:snapToGrid/>
          <w:sz w:val="22"/>
          <w:szCs w:val="22"/>
          <w:u w:val="single"/>
        </w:rPr>
      </w:pPr>
      <w:r w:rsidRPr="00B67DD8">
        <w:rPr>
          <w:rFonts w:ascii="Arial" w:hAnsi="Arial" w:eastAsiaTheme="minorHAnsi" w:cs="Arial"/>
          <w:b/>
          <w:bCs/>
          <w:snapToGrid/>
          <w:sz w:val="22"/>
          <w:szCs w:val="22"/>
          <w:u w:val="single"/>
        </w:rPr>
        <w:br w:type="page"/>
      </w:r>
    </w:p>
    <w:p w:rsidR="00B67DD8" w:rsidRPr="00B67DD8" w:rsidP="00B67DD8" w14:paraId="7024BDE3" w14:textId="77777777">
      <w:pPr>
        <w:widowControl/>
        <w:jc w:val="center"/>
        <w:rPr>
          <w:rFonts w:ascii="Arial" w:hAnsi="Arial" w:eastAsiaTheme="minorHAnsi" w:cs="Arial"/>
          <w:snapToGrid/>
          <w:sz w:val="22"/>
          <w:szCs w:val="22"/>
        </w:rPr>
      </w:pPr>
      <w:r w:rsidRPr="00B67DD8">
        <w:rPr>
          <w:rFonts w:ascii="Arial" w:hAnsi="Arial" w:eastAsiaTheme="minorHAnsi" w:cs="Arial"/>
          <w:b/>
          <w:bCs/>
          <w:snapToGrid/>
          <w:sz w:val="22"/>
          <w:szCs w:val="22"/>
          <w:u w:val="single"/>
        </w:rPr>
        <w:t>NOTICE</w:t>
      </w:r>
    </w:p>
    <w:p w:rsidR="00B67DD8" w:rsidRPr="00B67DD8" w:rsidP="00B67DD8" w14:paraId="4C9593F7" w14:textId="77777777">
      <w:pPr>
        <w:widowControl/>
        <w:rPr>
          <w:rFonts w:ascii="Arial" w:hAnsi="Arial" w:eastAsiaTheme="minorHAnsi" w:cs="Arial"/>
          <w:snapToGrid/>
          <w:sz w:val="22"/>
          <w:szCs w:val="22"/>
        </w:rPr>
      </w:pPr>
    </w:p>
    <w:p w:rsidR="00B67DD8" w:rsidRPr="00B67DD8" w:rsidP="00B67DD8" w14:paraId="215A5727" w14:textId="77777777">
      <w:pPr>
        <w:widowControl/>
        <w:rPr>
          <w:rFonts w:ascii="Arial" w:hAnsi="Arial" w:eastAsiaTheme="minorHAnsi" w:cs="Arial"/>
          <w:snapToGrid/>
          <w:sz w:val="22"/>
          <w:szCs w:val="22"/>
        </w:rPr>
      </w:pPr>
    </w:p>
    <w:p w:rsidR="00B67DD8" w:rsidRPr="00B67DD8" w:rsidP="00B67DD8" w14:paraId="21CE46A4" w14:textId="77777777">
      <w:pPr>
        <w:widowControl/>
        <w:jc w:val="both"/>
        <w:rPr>
          <w:rFonts w:ascii="Arial" w:hAnsi="Arial" w:eastAsiaTheme="minorHAnsi" w:cs="Arial"/>
          <w:b/>
          <w:bCs/>
          <w:snapToGrid/>
          <w:sz w:val="22"/>
          <w:szCs w:val="22"/>
        </w:rPr>
      </w:pPr>
      <w:r w:rsidRPr="00B67DD8">
        <w:rPr>
          <w:rFonts w:ascii="Arial" w:hAnsi="Arial" w:eastAsiaTheme="minorHAnsi" w:cs="Arial"/>
          <w:snapToGrid/>
          <w:sz w:val="22"/>
          <w:szCs w:val="22"/>
        </w:rPr>
        <w:tab/>
        <w:t>NOTICE IS HEREBY GIVEN that bids will be received by the Borough of Riverton, in the County of Burlington, State of New Jersey (the “Borough”) for the purchase of the Borough’s $2,342,000</w:t>
      </w:r>
      <w:r>
        <w:rPr>
          <w:rFonts w:ascii="Symbol" w:hAnsi="Symbol" w:eastAsiaTheme="minorHAnsi" w:cs="Arial"/>
          <w:snapToGrid/>
          <w:sz w:val="22"/>
          <w:szCs w:val="22"/>
          <w:vertAlign w:val="superscript"/>
        </w:rPr>
        <w:footnoteReference w:customMarkFollows="1" w:id="3"/>
        <w:sym w:font="Symbol" w:char="F02A"/>
      </w:r>
      <w:r w:rsidRPr="00B67DD8">
        <w:rPr>
          <w:rFonts w:ascii="Arial" w:hAnsi="Arial" w:eastAsiaTheme="minorHAnsi" w:cs="Arial"/>
          <w:snapToGrid/>
          <w:sz w:val="22"/>
          <w:szCs w:val="22"/>
        </w:rPr>
        <w:t xml:space="preserve"> aggregate principal amount of General Obligation Bonds, Series 2026 (the “Bonds”).  </w:t>
      </w:r>
      <w:r w:rsidRPr="00B67DD8">
        <w:rPr>
          <w:rFonts w:ascii="Arial" w:hAnsi="Arial" w:eastAsiaTheme="minorHAnsi" w:cs="Arial"/>
          <w:b/>
          <w:bCs/>
          <w:snapToGrid/>
          <w:sz w:val="22"/>
          <w:szCs w:val="22"/>
        </w:rPr>
        <w:t xml:space="preserve">All Bids (as defined below) must be submitted in their entirety on i-Deal’s PARITY website (“PARITY”) at </w:t>
      </w:r>
      <w:r w:rsidRPr="00B67DD8">
        <w:rPr>
          <w:rFonts w:ascii="Arial" w:hAnsi="Arial" w:eastAsiaTheme="minorHAnsi" w:cs="Arial"/>
          <w:b/>
          <w:bCs/>
          <w:snapToGrid/>
          <w:color w:val="0000FF" w:themeColor="hyperlink"/>
          <w:sz w:val="22"/>
          <w:szCs w:val="22"/>
          <w:u w:val="single"/>
        </w:rPr>
        <w:t>https://newissue.muni.spglobal.com</w:t>
      </w:r>
      <w:r w:rsidRPr="00B67DD8">
        <w:rPr>
          <w:rFonts w:ascii="Arial" w:hAnsi="Arial" w:eastAsiaTheme="minorHAnsi" w:cs="Arial"/>
          <w:b/>
          <w:bCs/>
          <w:snapToGrid/>
          <w:sz w:val="22"/>
          <w:szCs w:val="22"/>
        </w:rPr>
        <w:t xml:space="preserve"> prior to 11:00 a.m., prevailing New Jersey time, on July 7, 2026 (the “Bid Date”).  To bid via PARITY, Bidders (as defined below) must have submitted a good faith check in the form of a certified, cashier’s or treasurer’s check or a wire transfer payable to the Borough in the amount of $46,840 prior to 11:00 a.m. on July 7, 2026 (see Bidding Details below).</w:t>
      </w:r>
    </w:p>
    <w:p w:rsidR="00B67DD8" w:rsidRPr="00B67DD8" w:rsidP="00B67DD8" w14:paraId="0178C265" w14:textId="77777777">
      <w:pPr>
        <w:widowControl/>
        <w:tabs>
          <w:tab w:val="left" w:pos="720"/>
          <w:tab w:val="left" w:pos="1440"/>
          <w:tab w:val="left" w:pos="2160"/>
          <w:tab w:val="left" w:pos="2880"/>
        </w:tabs>
        <w:ind w:left="2880" w:hanging="2880"/>
        <w:jc w:val="both"/>
        <w:rPr>
          <w:rFonts w:ascii="Arial" w:hAnsi="Arial" w:eastAsiaTheme="minorHAnsi" w:cs="Arial"/>
          <w:snapToGrid/>
          <w:sz w:val="22"/>
          <w:szCs w:val="22"/>
        </w:rPr>
      </w:pPr>
    </w:p>
    <w:p w:rsidR="00B67DD8" w:rsidRPr="00B67DD8" w:rsidP="00B67DD8" w14:paraId="10C654BE" w14:textId="77777777">
      <w:pPr>
        <w:widowControl/>
        <w:jc w:val="both"/>
        <w:rPr>
          <w:rFonts w:ascii="Arial" w:hAnsi="Arial" w:eastAsiaTheme="minorHAnsi" w:cs="Arial"/>
          <w:snapToGrid/>
          <w:sz w:val="22"/>
          <w:szCs w:val="22"/>
        </w:rPr>
      </w:pPr>
      <w:r w:rsidRPr="00B67DD8">
        <w:rPr>
          <w:rFonts w:ascii="Arial" w:hAnsi="Arial" w:eastAsiaTheme="minorHAnsi" w:cs="Arial"/>
          <w:b/>
          <w:bCs/>
          <w:snapToGrid/>
          <w:sz w:val="22"/>
          <w:szCs w:val="22"/>
        </w:rPr>
        <w:t>Preliminary and Final Official Statement</w:t>
      </w:r>
    </w:p>
    <w:p w:rsidR="00B67DD8" w:rsidRPr="00B67DD8" w:rsidP="00B67DD8" w14:paraId="23ADAB68" w14:textId="77777777">
      <w:pPr>
        <w:widowControl/>
        <w:jc w:val="both"/>
        <w:rPr>
          <w:rFonts w:ascii="Arial" w:hAnsi="Arial" w:eastAsiaTheme="minorHAnsi" w:cs="Arial"/>
          <w:snapToGrid/>
          <w:sz w:val="22"/>
          <w:szCs w:val="22"/>
        </w:rPr>
      </w:pPr>
    </w:p>
    <w:p w:rsidR="00B67DD8" w:rsidRPr="00B67DD8" w:rsidP="00B67DD8" w14:paraId="58958477"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 xml:space="preserve">The Borough’s Preliminary Official Statement (the “POS”) is available for viewing in electronic format on </w:t>
      </w:r>
      <w:r w:rsidRPr="00B67DD8">
        <w:rPr>
          <w:rFonts w:ascii="Arial" w:hAnsi="Arial" w:eastAsiaTheme="minorHAnsi" w:cs="Arial"/>
          <w:snapToGrid/>
          <w:sz w:val="22"/>
          <w:szCs w:val="22"/>
          <w:u w:val="single"/>
        </w:rPr>
        <w:t>https://mcelweequinn.com</w:t>
      </w:r>
      <w:r w:rsidRPr="00B67DD8">
        <w:rPr>
          <w:rFonts w:ascii="Arial" w:hAnsi="Arial" w:eastAsiaTheme="minorHAnsi" w:cs="Arial"/>
          <w:snapToGrid/>
          <w:sz w:val="22"/>
          <w:szCs w:val="22"/>
        </w:rPr>
        <w:t xml:space="preserve">.  In addition, broker dealers registered with the National Association of Securities Dealers (the “NASD”) and dealer banks with The Depository Trust Company, New York, New York (“DTC”) clearing arrangements may either: (a) print out a copy of the POS on their own printer, or (b) at any time prior to 11:00 a.m., </w:t>
      </w:r>
      <w:r w:rsidRPr="00B67DD8">
        <w:rPr>
          <w:rFonts w:ascii="Arial" w:hAnsi="Arial" w:eastAsiaTheme="minorHAnsi" w:cs="Arial"/>
          <w:bCs/>
          <w:snapToGrid/>
          <w:sz w:val="22"/>
          <w:szCs w:val="22"/>
        </w:rPr>
        <w:t>prevailing New Jersey time,</w:t>
      </w:r>
      <w:r w:rsidRPr="00B67DD8">
        <w:rPr>
          <w:rFonts w:ascii="Arial" w:hAnsi="Arial" w:eastAsiaTheme="minorHAnsi" w:cs="Arial"/>
          <w:b/>
          <w:bCs/>
          <w:snapToGrid/>
          <w:sz w:val="22"/>
          <w:szCs w:val="22"/>
        </w:rPr>
        <w:t xml:space="preserve"> </w:t>
      </w:r>
      <w:r w:rsidRPr="00B67DD8">
        <w:rPr>
          <w:rFonts w:ascii="Arial" w:hAnsi="Arial" w:eastAsiaTheme="minorHAnsi" w:cs="Arial"/>
          <w:snapToGrid/>
          <w:sz w:val="22"/>
          <w:szCs w:val="22"/>
        </w:rPr>
        <w:t>on July 7, 2026, elect to receive an electronic copy of the POS via electronic mail by requesting it on PARITY or by calling the Borough’s bond counsel, Wilentz, Goldman &amp; Spitzer, P.A., 90 Woodbridge Center Drive, Woodbridge, New Jersey 07095.  Calls should be directed to Charles “Tony” Solimine, Esq. at (732) 855-6430.  All Bidders must review the POS and certify that they have done so prior to participating in the bidding on the Bonds.</w:t>
      </w:r>
    </w:p>
    <w:p w:rsidR="00B67DD8" w:rsidRPr="00B67DD8" w:rsidP="00B67DD8" w14:paraId="7B07BCF4" w14:textId="77777777">
      <w:pPr>
        <w:widowControl/>
        <w:jc w:val="both"/>
        <w:rPr>
          <w:rFonts w:ascii="Arial" w:hAnsi="Arial" w:eastAsiaTheme="minorHAnsi" w:cs="Arial"/>
          <w:snapToGrid/>
          <w:sz w:val="22"/>
          <w:szCs w:val="22"/>
        </w:rPr>
      </w:pPr>
    </w:p>
    <w:p w:rsidR="00B67DD8" w:rsidRPr="00B67DD8" w:rsidP="00B67DD8" w14:paraId="72E8DE90"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The POS is deemed by the Borough to be final as of its date for purposes of Rule 15c2-12 (the “Rule”) promulgated by the Securities and Exchange Commission pursuant to the Securities Exchange Act of 1934, as amended and supplemented, except for the omission of information concerning the offering price(s), interest rate(s), selling compensation, aggregate principal amount of the Bonds and any other terms or provisions to be determined from the successful Bid(s) or depending on such matters, and the identity of the underwriter(s).  The POS is, however, subject to such further revisions, amendments and completion in a Final Official Statement (the “Final Official Statement”) as may be necessary.</w:t>
      </w:r>
    </w:p>
    <w:p w:rsidR="00B67DD8" w:rsidRPr="00B67DD8" w:rsidP="00B67DD8" w14:paraId="6AAF3950" w14:textId="77777777">
      <w:pPr>
        <w:widowControl/>
        <w:jc w:val="both"/>
        <w:rPr>
          <w:rFonts w:ascii="Arial" w:hAnsi="Arial" w:eastAsiaTheme="minorHAnsi" w:cs="Arial"/>
          <w:snapToGrid/>
          <w:sz w:val="22"/>
          <w:szCs w:val="22"/>
        </w:rPr>
      </w:pPr>
    </w:p>
    <w:p w:rsidR="00B67DD8" w:rsidRPr="00B67DD8" w:rsidP="00B67DD8" w14:paraId="5F36ADC4"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The Borough, at its expense, will make available to the Winning Bidder (as defined herein) a reasonable number of copies of the Final Official Statements, within seven (7) business days following the date of acceptance of the Bid or to accompany the purchaser’s confirmations that request payment for the Notes.</w:t>
      </w:r>
    </w:p>
    <w:p w:rsidR="00B67DD8" w:rsidRPr="00B67DD8" w:rsidP="00B67DD8" w14:paraId="4FB53422" w14:textId="77777777">
      <w:pPr>
        <w:widowControl/>
        <w:jc w:val="both"/>
        <w:rPr>
          <w:rFonts w:ascii="Arial" w:hAnsi="Arial" w:eastAsiaTheme="minorHAnsi" w:cs="Arial"/>
          <w:snapToGrid/>
          <w:sz w:val="22"/>
          <w:szCs w:val="22"/>
        </w:rPr>
      </w:pPr>
    </w:p>
    <w:p w:rsidR="00B67DD8" w:rsidRPr="00B67DD8" w:rsidP="00B67DD8" w14:paraId="759DE6D2" w14:textId="77777777">
      <w:pPr>
        <w:widowControl/>
        <w:jc w:val="both"/>
        <w:rPr>
          <w:rFonts w:ascii="Arial" w:hAnsi="Arial" w:eastAsiaTheme="minorHAnsi" w:cs="Arial"/>
          <w:snapToGrid/>
          <w:sz w:val="22"/>
          <w:szCs w:val="22"/>
        </w:rPr>
      </w:pPr>
      <w:r w:rsidRPr="00B67DD8">
        <w:rPr>
          <w:rFonts w:ascii="Arial" w:hAnsi="Arial" w:eastAsiaTheme="minorHAnsi" w:cs="Arial"/>
          <w:b/>
          <w:bCs/>
          <w:snapToGrid/>
          <w:sz w:val="22"/>
          <w:szCs w:val="22"/>
        </w:rPr>
        <w:t>Types of Bids Allowed</w:t>
      </w:r>
    </w:p>
    <w:p w:rsidR="00B67DD8" w:rsidRPr="00B67DD8" w:rsidP="00B67DD8" w14:paraId="45AD0AC3" w14:textId="77777777">
      <w:pPr>
        <w:widowControl/>
        <w:jc w:val="both"/>
        <w:rPr>
          <w:rFonts w:ascii="Arial" w:hAnsi="Arial" w:eastAsiaTheme="minorHAnsi" w:cs="Arial"/>
          <w:snapToGrid/>
          <w:sz w:val="22"/>
          <w:szCs w:val="22"/>
        </w:rPr>
      </w:pPr>
    </w:p>
    <w:p w:rsidR="00B67DD8" w:rsidRPr="00B67DD8" w:rsidP="00B67DD8" w14:paraId="1A82BA14"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Subject to the Bid requirements described below, Bids for the Bonds must be submitted on an “All-or-None” (“AON”) basis for the entire amount of $2,342,000</w:t>
      </w:r>
      <w:r w:rsidRPr="00B67DD8">
        <w:rPr>
          <w:rFonts w:ascii="Arial" w:hAnsi="Arial" w:eastAsiaTheme="minorHAnsi" w:cs="Arial"/>
          <w:snapToGrid/>
          <w:sz w:val="22"/>
          <w:szCs w:val="22"/>
          <w:vertAlign w:val="superscript"/>
        </w:rPr>
        <w:t>*</w:t>
      </w:r>
      <w:r w:rsidRPr="00B67DD8">
        <w:rPr>
          <w:rFonts w:ascii="Arial" w:hAnsi="Arial" w:eastAsiaTheme="minorHAnsi" w:cs="Arial"/>
          <w:snapToGrid/>
          <w:sz w:val="22"/>
          <w:szCs w:val="22"/>
        </w:rPr>
        <w:t>.  First, a Bidder must submit a conforming Bid for the entire issue, and if such Bid is accepted by the Borough, the Bidder will be required to purchase the entire issue in accordance with such Bid.</w:t>
      </w:r>
    </w:p>
    <w:p w:rsidR="00B67DD8" w:rsidRPr="00B67DD8" w:rsidP="00B67DD8" w14:paraId="24293F93" w14:textId="77777777">
      <w:pPr>
        <w:widowControl/>
        <w:jc w:val="both"/>
        <w:rPr>
          <w:rFonts w:ascii="Arial" w:hAnsi="Arial" w:eastAsiaTheme="minorHAnsi" w:cs="Arial"/>
          <w:snapToGrid/>
          <w:sz w:val="22"/>
          <w:szCs w:val="22"/>
        </w:rPr>
      </w:pPr>
    </w:p>
    <w:p w:rsidR="00B67DD8" w:rsidRPr="00B67DD8" w:rsidP="00B67DD8" w14:paraId="5D78A79E" w14:textId="77777777">
      <w:pPr>
        <w:widowControl/>
        <w:jc w:val="both"/>
        <w:rPr>
          <w:rFonts w:ascii="Arial" w:hAnsi="Arial" w:eastAsiaTheme="minorHAnsi" w:cs="Arial"/>
          <w:snapToGrid/>
          <w:sz w:val="22"/>
          <w:szCs w:val="22"/>
        </w:rPr>
      </w:pPr>
    </w:p>
    <w:p w:rsidR="00B67DD8" w:rsidRPr="00B67DD8" w:rsidP="00B67DD8" w14:paraId="78C34198" w14:textId="77777777">
      <w:pPr>
        <w:widowControl/>
        <w:jc w:val="both"/>
        <w:rPr>
          <w:rFonts w:ascii="Arial" w:hAnsi="Arial" w:eastAsiaTheme="minorHAnsi" w:cs="Arial"/>
          <w:snapToGrid/>
          <w:sz w:val="22"/>
          <w:szCs w:val="22"/>
        </w:rPr>
      </w:pPr>
    </w:p>
    <w:p w:rsidR="00B67DD8" w:rsidRPr="00B67DD8" w:rsidP="00B67DD8" w14:paraId="75B86551" w14:textId="77777777">
      <w:pPr>
        <w:widowControl/>
        <w:jc w:val="both"/>
        <w:rPr>
          <w:rFonts w:ascii="Arial" w:hAnsi="Arial" w:eastAsiaTheme="minorHAnsi" w:cs="Arial"/>
          <w:snapToGrid/>
          <w:sz w:val="22"/>
          <w:szCs w:val="22"/>
        </w:rPr>
      </w:pPr>
      <w:r w:rsidRPr="00B67DD8">
        <w:rPr>
          <w:rFonts w:ascii="Arial" w:hAnsi="Arial" w:eastAsiaTheme="minorHAnsi" w:cs="Arial"/>
          <w:b/>
          <w:bCs/>
          <w:snapToGrid/>
          <w:sz w:val="22"/>
          <w:szCs w:val="22"/>
        </w:rPr>
        <w:t>Insurance</w:t>
      </w:r>
    </w:p>
    <w:p w:rsidR="00B67DD8" w:rsidRPr="00B67DD8" w:rsidP="00B67DD8" w14:paraId="3E13D36E" w14:textId="77777777">
      <w:pPr>
        <w:widowControl/>
        <w:jc w:val="both"/>
        <w:rPr>
          <w:rFonts w:ascii="Arial" w:hAnsi="Arial" w:eastAsiaTheme="minorHAnsi" w:cs="Arial"/>
          <w:snapToGrid/>
          <w:sz w:val="22"/>
          <w:szCs w:val="22"/>
        </w:rPr>
      </w:pPr>
    </w:p>
    <w:p w:rsidR="00B67DD8" w:rsidRPr="00B67DD8" w:rsidP="00B67DD8" w14:paraId="19A2F84F"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If the Bonds qualify for the issuance of any policy of municipal bond insurance, the Bidder of the Bonds may, at its sole option and expense, purchase such insurance.  The insurance premium, if any, will be paid by the Bidder.  Any failure of the Bonds to be so insured shall not in any way relieve the Winning Bidder of its contractual obligations arising from the acceptance of its proposal for the purchase of the Bonds.</w:t>
      </w:r>
    </w:p>
    <w:p w:rsidR="00B67DD8" w:rsidRPr="00B67DD8" w:rsidP="00B67DD8" w14:paraId="1C1C9DE8" w14:textId="77777777">
      <w:pPr>
        <w:widowControl/>
        <w:jc w:val="both"/>
        <w:rPr>
          <w:rFonts w:ascii="Arial" w:hAnsi="Arial" w:eastAsiaTheme="minorHAnsi" w:cs="Arial"/>
          <w:snapToGrid/>
          <w:sz w:val="22"/>
          <w:szCs w:val="22"/>
        </w:rPr>
      </w:pPr>
    </w:p>
    <w:p w:rsidR="00B67DD8" w:rsidRPr="00B67DD8" w:rsidP="00B67DD8" w14:paraId="10E29165" w14:textId="77777777">
      <w:pPr>
        <w:widowControl/>
        <w:jc w:val="both"/>
        <w:rPr>
          <w:rFonts w:ascii="Arial" w:hAnsi="Arial" w:eastAsiaTheme="minorHAnsi" w:cs="Arial"/>
          <w:snapToGrid/>
          <w:sz w:val="22"/>
          <w:szCs w:val="22"/>
        </w:rPr>
      </w:pPr>
      <w:r w:rsidRPr="00B67DD8">
        <w:rPr>
          <w:rFonts w:ascii="Arial" w:hAnsi="Arial" w:eastAsiaTheme="minorHAnsi" w:cs="Arial"/>
          <w:b/>
          <w:bCs/>
          <w:snapToGrid/>
          <w:sz w:val="22"/>
          <w:szCs w:val="22"/>
        </w:rPr>
        <w:t>Interest Payment Dates; Description of the Bonds</w:t>
      </w:r>
    </w:p>
    <w:p w:rsidR="00B67DD8" w:rsidRPr="00B67DD8" w:rsidP="00B67DD8" w14:paraId="5EF08770" w14:textId="77777777">
      <w:pPr>
        <w:widowControl/>
        <w:jc w:val="both"/>
        <w:rPr>
          <w:rFonts w:ascii="Arial" w:hAnsi="Arial" w:eastAsiaTheme="minorHAnsi" w:cs="Arial"/>
          <w:snapToGrid/>
          <w:sz w:val="22"/>
          <w:szCs w:val="22"/>
        </w:rPr>
      </w:pPr>
    </w:p>
    <w:p w:rsidR="00B67DD8" w:rsidRPr="00B67DD8" w:rsidP="00B67DD8" w14:paraId="4C88B2EC"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The Bonds will be dated their date of delivery and will bear interest from such date and be payable semiannually on January 15 and July 15 in each year (each an “Interest Payment Date”), commencing January 15, 2027, until maturity or prior redemption, by payment of money to DTC or its authorized nominee.  DTC will credit payments of principal of and interest on the Bonds to the Participants of DTC as listed on the records of DTC as of each January 1 and July 1 (the “Record Dates”) preceding each Interest Payment Date for the Bonds.</w:t>
      </w:r>
    </w:p>
    <w:p w:rsidR="00B67DD8" w:rsidRPr="00B67DD8" w:rsidP="00B67DD8" w14:paraId="3344DC68" w14:textId="77777777">
      <w:pPr>
        <w:widowControl/>
        <w:jc w:val="both"/>
        <w:rPr>
          <w:rFonts w:ascii="Arial" w:hAnsi="Arial" w:eastAsiaTheme="minorHAnsi" w:cs="Arial"/>
          <w:snapToGrid/>
          <w:sz w:val="22"/>
          <w:szCs w:val="22"/>
        </w:rPr>
      </w:pPr>
    </w:p>
    <w:p w:rsidR="00B67DD8" w:rsidRPr="00B67DD8" w:rsidP="00B67DD8" w14:paraId="73C83EFF" w14:textId="77777777">
      <w:pPr>
        <w:widowControl/>
        <w:jc w:val="both"/>
        <w:rPr>
          <w:rFonts w:ascii="Arial" w:hAnsi="Arial" w:eastAsiaTheme="minorHAnsi" w:cs="Arial"/>
          <w:snapToGrid/>
          <w:sz w:val="22"/>
          <w:szCs w:val="22"/>
        </w:rPr>
      </w:pPr>
      <w:r w:rsidRPr="00B67DD8">
        <w:rPr>
          <w:rFonts w:ascii="Arial" w:hAnsi="Arial" w:eastAsiaTheme="minorHAnsi" w:cs="Arial"/>
          <w:b/>
          <w:bCs/>
          <w:snapToGrid/>
          <w:sz w:val="22"/>
          <w:szCs w:val="22"/>
        </w:rPr>
        <w:t>Principal Amortization</w:t>
      </w:r>
    </w:p>
    <w:p w:rsidR="00B67DD8" w:rsidRPr="00B67DD8" w:rsidP="00B67DD8" w14:paraId="6425A5D6" w14:textId="77777777">
      <w:pPr>
        <w:widowControl/>
        <w:jc w:val="both"/>
        <w:rPr>
          <w:rFonts w:ascii="Arial" w:hAnsi="Arial" w:eastAsiaTheme="minorHAnsi" w:cs="Arial"/>
          <w:snapToGrid/>
          <w:sz w:val="22"/>
          <w:szCs w:val="22"/>
        </w:rPr>
      </w:pPr>
    </w:p>
    <w:p w:rsidR="00B67DD8" w:rsidRPr="00B67DD8" w:rsidP="00B67DD8" w14:paraId="1357DD7C"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The Bonds will consist of one series of bonds (with one CUSIP for each maturity) maturing on July 15 in each year, as indicated on the maturity schedule set forth below.  The principal amounts of each serial maturity shall be as set forth below:</w:t>
      </w:r>
    </w:p>
    <w:p w:rsidR="00B67DD8" w:rsidRPr="00B67DD8" w:rsidP="00B67DD8" w14:paraId="2CD89040" w14:textId="77777777">
      <w:pPr>
        <w:widowControl/>
        <w:jc w:val="both"/>
        <w:rPr>
          <w:rFonts w:ascii="Arial" w:hAnsi="Arial" w:eastAsiaTheme="minorHAnsi" w:cs="Arial"/>
          <w:snapToGrid/>
          <w:sz w:val="22"/>
          <w:szCs w:val="22"/>
        </w:rPr>
      </w:pPr>
    </w:p>
    <w:tbl>
      <w:tblPr>
        <w:tblW w:w="0" w:type="auto"/>
        <w:tblInd w:w="1255" w:type="dxa"/>
        <w:tblLayout w:type="fixed"/>
        <w:tblCellMar>
          <w:top w:w="0" w:type="dxa"/>
          <w:left w:w="108" w:type="dxa"/>
          <w:bottom w:w="0" w:type="dxa"/>
          <w:right w:w="108" w:type="dxa"/>
        </w:tblCellMar>
        <w:tblLook w:val="0000"/>
      </w:tblPr>
      <w:tblGrid>
        <w:gridCol w:w="1086"/>
        <w:gridCol w:w="2717"/>
        <w:gridCol w:w="1260"/>
        <w:gridCol w:w="2605"/>
      </w:tblGrid>
      <w:tr w14:paraId="0D02A4A7" w14:textId="77777777" w:rsidTr="003F60B6">
        <w:tblPrEx>
          <w:tblW w:w="0" w:type="auto"/>
          <w:tblInd w:w="1255" w:type="dxa"/>
          <w:tblLayout w:type="fixed"/>
          <w:tblLook w:val="0000"/>
        </w:tblPrEx>
        <w:trPr>
          <w:trHeight w:val="333"/>
          <w:tblHeader/>
        </w:trPr>
        <w:tc>
          <w:tcPr>
            <w:tcW w:w="1086" w:type="dxa"/>
          </w:tcPr>
          <w:p w:rsidR="00B67DD8" w:rsidRPr="00B67DD8" w:rsidP="00B67DD8" w14:paraId="0B22B58E" w14:textId="77777777">
            <w:pPr>
              <w:widowControl/>
              <w:suppressAutoHyphens/>
              <w:spacing w:after="0" w:line="240" w:lineRule="auto"/>
              <w:jc w:val="center"/>
              <w:rPr>
                <w:rFonts w:ascii="Arial" w:hAnsi="Arial" w:eastAsiaTheme="minorHAnsi" w:cs="Arial"/>
                <w:snapToGrid/>
                <w:sz w:val="22"/>
                <w:szCs w:val="22"/>
                <w:u w:val="single"/>
                <w:lang w:val="en-US" w:eastAsia="en-US" w:bidi="ar-SA"/>
              </w:rPr>
            </w:pPr>
            <w:r w:rsidRPr="00B67DD8">
              <w:rPr>
                <w:rFonts w:ascii="Arial" w:hAnsi="Arial" w:eastAsiaTheme="minorHAnsi" w:cs="Arial"/>
                <w:snapToGrid/>
                <w:sz w:val="22"/>
                <w:szCs w:val="22"/>
                <w:u w:val="single"/>
                <w:lang w:val="en-US" w:eastAsia="en-US" w:bidi="ar-SA"/>
              </w:rPr>
              <w:t>Year</w:t>
            </w:r>
          </w:p>
        </w:tc>
        <w:tc>
          <w:tcPr>
            <w:tcW w:w="2717" w:type="dxa"/>
          </w:tcPr>
          <w:p w:rsidR="00B67DD8" w:rsidRPr="00B67DD8" w:rsidP="00B67DD8" w14:paraId="4D9BB4F1" w14:textId="77777777">
            <w:pPr>
              <w:widowControl/>
              <w:suppressAutoHyphens/>
              <w:spacing w:after="0" w:line="240" w:lineRule="auto"/>
              <w:jc w:val="center"/>
              <w:rPr>
                <w:rFonts w:ascii="Arial" w:hAnsi="Arial" w:eastAsiaTheme="minorHAnsi" w:cs="Arial"/>
                <w:snapToGrid/>
                <w:sz w:val="22"/>
                <w:szCs w:val="22"/>
                <w:u w:val="single"/>
                <w:lang w:val="en-US" w:eastAsia="en-US" w:bidi="ar-SA"/>
              </w:rPr>
            </w:pPr>
            <w:r w:rsidRPr="00B67DD8">
              <w:rPr>
                <w:rFonts w:ascii="Arial" w:hAnsi="Arial" w:eastAsiaTheme="minorHAnsi" w:cs="Arial"/>
                <w:snapToGrid/>
                <w:sz w:val="22"/>
                <w:szCs w:val="22"/>
                <w:u w:val="single"/>
                <w:lang w:val="en-US" w:eastAsia="en-US" w:bidi="ar-SA"/>
              </w:rPr>
              <w:t>Principal Amount</w:t>
            </w:r>
            <w:r>
              <w:rPr>
                <w:rFonts w:ascii="Arial" w:hAnsi="Arial" w:eastAsiaTheme="minorHAnsi" w:cs="Arial"/>
                <w:snapToGrid/>
                <w:sz w:val="22"/>
                <w:szCs w:val="22"/>
                <w:u w:val="single"/>
                <w:vertAlign w:val="superscript"/>
              </w:rPr>
              <w:footnoteReference w:id="4"/>
            </w:r>
          </w:p>
        </w:tc>
        <w:tc>
          <w:tcPr>
            <w:tcW w:w="1260" w:type="dxa"/>
          </w:tcPr>
          <w:p w:rsidR="00B67DD8" w:rsidRPr="00B67DD8" w:rsidP="00B67DD8" w14:paraId="69796FC5" w14:textId="77777777">
            <w:pPr>
              <w:widowControl/>
              <w:suppressAutoHyphens/>
              <w:spacing w:after="0" w:line="240" w:lineRule="auto"/>
              <w:jc w:val="center"/>
              <w:rPr>
                <w:rFonts w:ascii="Arial" w:hAnsi="Arial" w:eastAsiaTheme="minorHAnsi" w:cs="Arial"/>
                <w:snapToGrid/>
                <w:sz w:val="22"/>
                <w:szCs w:val="22"/>
                <w:u w:val="single"/>
                <w:lang w:val="en-US" w:eastAsia="en-US" w:bidi="ar-SA"/>
              </w:rPr>
            </w:pPr>
            <w:r w:rsidRPr="00B67DD8">
              <w:rPr>
                <w:rFonts w:ascii="Arial" w:hAnsi="Arial" w:eastAsiaTheme="minorHAnsi" w:cs="Arial"/>
                <w:snapToGrid/>
                <w:sz w:val="22"/>
                <w:szCs w:val="22"/>
                <w:u w:val="single"/>
                <w:lang w:val="en-US" w:eastAsia="en-US" w:bidi="ar-SA"/>
              </w:rPr>
              <w:t>Year</w:t>
            </w:r>
          </w:p>
        </w:tc>
        <w:tc>
          <w:tcPr>
            <w:tcW w:w="2605" w:type="dxa"/>
          </w:tcPr>
          <w:p w:rsidR="00B67DD8" w:rsidRPr="00B67DD8" w:rsidP="00B67DD8" w14:paraId="72C1B9D2" w14:textId="77777777">
            <w:pPr>
              <w:widowControl/>
              <w:suppressAutoHyphens/>
              <w:spacing w:after="0" w:line="240" w:lineRule="auto"/>
              <w:jc w:val="center"/>
              <w:rPr>
                <w:rFonts w:ascii="Arial" w:hAnsi="Arial" w:eastAsiaTheme="minorHAnsi" w:cs="Arial"/>
                <w:snapToGrid/>
                <w:sz w:val="22"/>
                <w:szCs w:val="22"/>
                <w:u w:val="single"/>
                <w:lang w:val="en-US" w:eastAsia="en-US" w:bidi="ar-SA"/>
              </w:rPr>
            </w:pPr>
            <w:r w:rsidRPr="00B67DD8">
              <w:rPr>
                <w:rFonts w:ascii="Arial" w:hAnsi="Arial" w:eastAsiaTheme="minorHAnsi" w:cs="Arial"/>
                <w:snapToGrid/>
                <w:sz w:val="22"/>
                <w:szCs w:val="22"/>
                <w:u w:val="single"/>
                <w:lang w:val="en-US" w:eastAsia="en-US" w:bidi="ar-SA"/>
              </w:rPr>
              <w:t>Principal Amount</w:t>
            </w:r>
            <w:r w:rsidRPr="00B67DD8">
              <w:rPr>
                <w:rFonts w:ascii="Arial" w:hAnsi="Arial" w:eastAsiaTheme="minorHAnsi" w:cs="Arial"/>
                <w:snapToGrid/>
                <w:sz w:val="22"/>
                <w:szCs w:val="22"/>
                <w:vertAlign w:val="superscript"/>
                <w:lang w:val="en-US" w:eastAsia="en-US" w:bidi="ar-SA"/>
              </w:rPr>
              <w:t>*</w:t>
            </w:r>
          </w:p>
        </w:tc>
      </w:tr>
      <w:tr w14:paraId="71611B36" w14:textId="77777777" w:rsidTr="003F60B6">
        <w:tblPrEx>
          <w:tblW w:w="0" w:type="auto"/>
          <w:tblInd w:w="1255" w:type="dxa"/>
          <w:tblLayout w:type="fixed"/>
          <w:tblLook w:val="0000"/>
        </w:tblPrEx>
        <w:tc>
          <w:tcPr>
            <w:tcW w:w="1086" w:type="dxa"/>
          </w:tcPr>
          <w:p w:rsidR="00B67DD8" w:rsidRPr="00B67DD8" w:rsidP="00B67DD8" w14:paraId="39735BC8"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2027</w:t>
            </w:r>
          </w:p>
        </w:tc>
        <w:tc>
          <w:tcPr>
            <w:tcW w:w="2717" w:type="dxa"/>
          </w:tcPr>
          <w:p w:rsidR="00B67DD8" w:rsidRPr="00B67DD8" w:rsidP="00B67DD8" w14:paraId="1994DB94"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$102,000</w:t>
            </w:r>
          </w:p>
        </w:tc>
        <w:tc>
          <w:tcPr>
            <w:tcW w:w="1260" w:type="dxa"/>
          </w:tcPr>
          <w:p w:rsidR="00B67DD8" w:rsidRPr="00B67DD8" w:rsidP="00B67DD8" w14:paraId="7EB88106"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2036</w:t>
            </w:r>
          </w:p>
        </w:tc>
        <w:tc>
          <w:tcPr>
            <w:tcW w:w="2605" w:type="dxa"/>
          </w:tcPr>
          <w:p w:rsidR="00B67DD8" w:rsidRPr="00B67DD8" w:rsidP="00B67DD8" w14:paraId="073AAF3B"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$140,000</w:t>
            </w:r>
          </w:p>
        </w:tc>
      </w:tr>
      <w:tr w14:paraId="7BD0F97B" w14:textId="77777777" w:rsidTr="003F60B6">
        <w:tblPrEx>
          <w:tblW w:w="0" w:type="auto"/>
          <w:tblInd w:w="1255" w:type="dxa"/>
          <w:tblLayout w:type="fixed"/>
          <w:tblLook w:val="0000"/>
        </w:tblPrEx>
        <w:tc>
          <w:tcPr>
            <w:tcW w:w="1086" w:type="dxa"/>
          </w:tcPr>
          <w:p w:rsidR="00B67DD8" w:rsidRPr="00B67DD8" w:rsidP="00B67DD8" w14:paraId="355DC9F9"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2028</w:t>
            </w:r>
          </w:p>
        </w:tc>
        <w:tc>
          <w:tcPr>
            <w:tcW w:w="2717" w:type="dxa"/>
          </w:tcPr>
          <w:p w:rsidR="00B67DD8" w:rsidRPr="00B67DD8" w:rsidP="00B67DD8" w14:paraId="6A1A29E6"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110,000</w:t>
            </w:r>
          </w:p>
        </w:tc>
        <w:tc>
          <w:tcPr>
            <w:tcW w:w="1260" w:type="dxa"/>
          </w:tcPr>
          <w:p w:rsidR="00B67DD8" w:rsidRPr="00B67DD8" w:rsidP="00B67DD8" w14:paraId="08C65199"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2037</w:t>
            </w:r>
          </w:p>
        </w:tc>
        <w:tc>
          <w:tcPr>
            <w:tcW w:w="2605" w:type="dxa"/>
          </w:tcPr>
          <w:p w:rsidR="00B67DD8" w:rsidRPr="00B67DD8" w:rsidP="00B67DD8" w14:paraId="3B35036B"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145,000</w:t>
            </w:r>
          </w:p>
        </w:tc>
      </w:tr>
      <w:tr w14:paraId="0F0251FC" w14:textId="77777777" w:rsidTr="003F60B6">
        <w:tblPrEx>
          <w:tblW w:w="0" w:type="auto"/>
          <w:tblInd w:w="1255" w:type="dxa"/>
          <w:tblLayout w:type="fixed"/>
          <w:tblLook w:val="0000"/>
        </w:tblPrEx>
        <w:trPr>
          <w:trHeight w:val="80"/>
        </w:trPr>
        <w:tc>
          <w:tcPr>
            <w:tcW w:w="1086" w:type="dxa"/>
          </w:tcPr>
          <w:p w:rsidR="00B67DD8" w:rsidRPr="00B67DD8" w:rsidP="00B67DD8" w14:paraId="1AFFED2E"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2029</w:t>
            </w:r>
          </w:p>
        </w:tc>
        <w:tc>
          <w:tcPr>
            <w:tcW w:w="2717" w:type="dxa"/>
          </w:tcPr>
          <w:p w:rsidR="00B67DD8" w:rsidRPr="00B67DD8" w:rsidP="00B67DD8" w14:paraId="673ABD2C"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115,000</w:t>
            </w:r>
          </w:p>
        </w:tc>
        <w:tc>
          <w:tcPr>
            <w:tcW w:w="1260" w:type="dxa"/>
          </w:tcPr>
          <w:p w:rsidR="00B67DD8" w:rsidRPr="00B67DD8" w:rsidP="00B67DD8" w14:paraId="53783B6B"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2038</w:t>
            </w:r>
          </w:p>
        </w:tc>
        <w:tc>
          <w:tcPr>
            <w:tcW w:w="2605" w:type="dxa"/>
          </w:tcPr>
          <w:p w:rsidR="00B67DD8" w:rsidRPr="00B67DD8" w:rsidP="00B67DD8" w14:paraId="468C4A11"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150,000</w:t>
            </w:r>
          </w:p>
        </w:tc>
      </w:tr>
      <w:tr w14:paraId="03345345" w14:textId="77777777" w:rsidTr="003F60B6">
        <w:tblPrEx>
          <w:tblW w:w="0" w:type="auto"/>
          <w:tblInd w:w="1255" w:type="dxa"/>
          <w:tblLayout w:type="fixed"/>
          <w:tblLook w:val="0000"/>
        </w:tblPrEx>
        <w:tc>
          <w:tcPr>
            <w:tcW w:w="1086" w:type="dxa"/>
          </w:tcPr>
          <w:p w:rsidR="00B67DD8" w:rsidRPr="00B67DD8" w:rsidP="00B67DD8" w14:paraId="670FE1EC"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2030</w:t>
            </w:r>
          </w:p>
        </w:tc>
        <w:tc>
          <w:tcPr>
            <w:tcW w:w="2717" w:type="dxa"/>
          </w:tcPr>
          <w:p w:rsidR="00B67DD8" w:rsidRPr="00B67DD8" w:rsidP="00B67DD8" w14:paraId="675B0F78"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115,000</w:t>
            </w:r>
          </w:p>
        </w:tc>
        <w:tc>
          <w:tcPr>
            <w:tcW w:w="1260" w:type="dxa"/>
          </w:tcPr>
          <w:p w:rsidR="00B67DD8" w:rsidRPr="00B67DD8" w:rsidP="00B67DD8" w14:paraId="2B6D6EA6"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2039</w:t>
            </w:r>
          </w:p>
        </w:tc>
        <w:tc>
          <w:tcPr>
            <w:tcW w:w="2605" w:type="dxa"/>
          </w:tcPr>
          <w:p w:rsidR="00B67DD8" w:rsidRPr="00B67DD8" w:rsidP="00B67DD8" w14:paraId="203A9A0B"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155,000</w:t>
            </w:r>
          </w:p>
        </w:tc>
      </w:tr>
      <w:tr w14:paraId="5BA5D97C" w14:textId="77777777" w:rsidTr="003F60B6">
        <w:tblPrEx>
          <w:tblW w:w="0" w:type="auto"/>
          <w:tblInd w:w="1255" w:type="dxa"/>
          <w:tblLayout w:type="fixed"/>
          <w:tblLook w:val="0000"/>
        </w:tblPrEx>
        <w:tc>
          <w:tcPr>
            <w:tcW w:w="1086" w:type="dxa"/>
          </w:tcPr>
          <w:p w:rsidR="00B67DD8" w:rsidRPr="00B67DD8" w:rsidP="00B67DD8" w14:paraId="096B252F"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2031</w:t>
            </w:r>
          </w:p>
        </w:tc>
        <w:tc>
          <w:tcPr>
            <w:tcW w:w="2717" w:type="dxa"/>
          </w:tcPr>
          <w:p w:rsidR="00B67DD8" w:rsidRPr="00B67DD8" w:rsidP="00B67DD8" w14:paraId="6E7E2882"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120,000</w:t>
            </w:r>
          </w:p>
        </w:tc>
        <w:tc>
          <w:tcPr>
            <w:tcW w:w="1260" w:type="dxa"/>
          </w:tcPr>
          <w:p w:rsidR="00B67DD8" w:rsidRPr="00B67DD8" w:rsidP="00B67DD8" w14:paraId="78E4E90B"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2040</w:t>
            </w:r>
          </w:p>
        </w:tc>
        <w:tc>
          <w:tcPr>
            <w:tcW w:w="2605" w:type="dxa"/>
          </w:tcPr>
          <w:p w:rsidR="00B67DD8" w:rsidRPr="00B67DD8" w:rsidP="00B67DD8" w14:paraId="00CD3639"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160,000</w:t>
            </w:r>
          </w:p>
        </w:tc>
      </w:tr>
      <w:tr w14:paraId="64CAB6DA" w14:textId="77777777" w:rsidTr="003F60B6">
        <w:tblPrEx>
          <w:tblW w:w="0" w:type="auto"/>
          <w:tblInd w:w="1255" w:type="dxa"/>
          <w:tblLayout w:type="fixed"/>
          <w:tblLook w:val="0000"/>
        </w:tblPrEx>
        <w:tc>
          <w:tcPr>
            <w:tcW w:w="1086" w:type="dxa"/>
          </w:tcPr>
          <w:p w:rsidR="00B67DD8" w:rsidRPr="00B67DD8" w:rsidP="00B67DD8" w14:paraId="04954D68"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2032</w:t>
            </w:r>
          </w:p>
        </w:tc>
        <w:tc>
          <w:tcPr>
            <w:tcW w:w="2717" w:type="dxa"/>
          </w:tcPr>
          <w:p w:rsidR="00B67DD8" w:rsidRPr="00B67DD8" w:rsidP="00B67DD8" w14:paraId="6EC7482C"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125,000</w:t>
            </w:r>
          </w:p>
        </w:tc>
        <w:tc>
          <w:tcPr>
            <w:tcW w:w="1260" w:type="dxa"/>
          </w:tcPr>
          <w:p w:rsidR="00B67DD8" w:rsidRPr="00B67DD8" w:rsidP="00B67DD8" w14:paraId="6E28C56E"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2041</w:t>
            </w:r>
          </w:p>
        </w:tc>
        <w:tc>
          <w:tcPr>
            <w:tcW w:w="2605" w:type="dxa"/>
          </w:tcPr>
          <w:p w:rsidR="00B67DD8" w:rsidRPr="00B67DD8" w:rsidP="00B67DD8" w14:paraId="2D2AFA22"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165,000</w:t>
            </w:r>
          </w:p>
        </w:tc>
      </w:tr>
      <w:tr w14:paraId="085B0D1A" w14:textId="77777777" w:rsidTr="003F60B6">
        <w:tblPrEx>
          <w:tblW w:w="0" w:type="auto"/>
          <w:tblInd w:w="1255" w:type="dxa"/>
          <w:tblLayout w:type="fixed"/>
          <w:tblLook w:val="0000"/>
        </w:tblPrEx>
        <w:tc>
          <w:tcPr>
            <w:tcW w:w="1086" w:type="dxa"/>
          </w:tcPr>
          <w:p w:rsidR="00B67DD8" w:rsidRPr="00B67DD8" w:rsidP="00B67DD8" w14:paraId="4FD5B47E"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2033</w:t>
            </w:r>
          </w:p>
        </w:tc>
        <w:tc>
          <w:tcPr>
            <w:tcW w:w="2717" w:type="dxa"/>
          </w:tcPr>
          <w:p w:rsidR="00B67DD8" w:rsidRPr="00B67DD8" w:rsidP="00B67DD8" w14:paraId="547A23CF"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125,000</w:t>
            </w:r>
          </w:p>
        </w:tc>
        <w:tc>
          <w:tcPr>
            <w:tcW w:w="1260" w:type="dxa"/>
          </w:tcPr>
          <w:p w:rsidR="00B67DD8" w:rsidRPr="00B67DD8" w:rsidP="00B67DD8" w14:paraId="6CBC9476"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2042</w:t>
            </w:r>
          </w:p>
        </w:tc>
        <w:tc>
          <w:tcPr>
            <w:tcW w:w="2605" w:type="dxa"/>
          </w:tcPr>
          <w:p w:rsidR="00B67DD8" w:rsidRPr="00B67DD8" w:rsidP="00B67DD8" w14:paraId="19987206"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170,000</w:t>
            </w:r>
          </w:p>
        </w:tc>
      </w:tr>
      <w:tr w14:paraId="36D2A5C0" w14:textId="77777777" w:rsidTr="003F60B6">
        <w:tblPrEx>
          <w:tblW w:w="0" w:type="auto"/>
          <w:tblInd w:w="1255" w:type="dxa"/>
          <w:tblLayout w:type="fixed"/>
          <w:tblLook w:val="0000"/>
        </w:tblPrEx>
        <w:tc>
          <w:tcPr>
            <w:tcW w:w="1086" w:type="dxa"/>
          </w:tcPr>
          <w:p w:rsidR="00B67DD8" w:rsidRPr="00B67DD8" w:rsidP="00B67DD8" w14:paraId="28124569"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2034</w:t>
            </w:r>
          </w:p>
        </w:tc>
        <w:tc>
          <w:tcPr>
            <w:tcW w:w="2717" w:type="dxa"/>
          </w:tcPr>
          <w:p w:rsidR="00B67DD8" w:rsidRPr="00B67DD8" w:rsidP="00B67DD8" w14:paraId="5FFD9201"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130,000</w:t>
            </w:r>
          </w:p>
        </w:tc>
        <w:tc>
          <w:tcPr>
            <w:tcW w:w="1260" w:type="dxa"/>
          </w:tcPr>
          <w:p w:rsidR="00B67DD8" w:rsidRPr="00B67DD8" w:rsidP="00B67DD8" w14:paraId="1DD7076F"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2043</w:t>
            </w:r>
          </w:p>
        </w:tc>
        <w:tc>
          <w:tcPr>
            <w:tcW w:w="2605" w:type="dxa"/>
          </w:tcPr>
          <w:p w:rsidR="00B67DD8" w:rsidRPr="00B67DD8" w:rsidP="00B67DD8" w14:paraId="5D44E359"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180,000</w:t>
            </w:r>
          </w:p>
        </w:tc>
      </w:tr>
      <w:tr w14:paraId="3D761184" w14:textId="77777777" w:rsidTr="003F60B6">
        <w:tblPrEx>
          <w:tblW w:w="0" w:type="auto"/>
          <w:tblInd w:w="1255" w:type="dxa"/>
          <w:tblLayout w:type="fixed"/>
          <w:tblLook w:val="0000"/>
        </w:tblPrEx>
        <w:tc>
          <w:tcPr>
            <w:tcW w:w="1086" w:type="dxa"/>
          </w:tcPr>
          <w:p w:rsidR="00B67DD8" w:rsidRPr="00B67DD8" w:rsidP="00B67DD8" w14:paraId="4A2D771D" w14:textId="77777777">
            <w:pPr>
              <w:widowControl/>
              <w:suppressAutoHyphens/>
              <w:spacing w:after="0" w:line="240" w:lineRule="auto"/>
              <w:jc w:val="center"/>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2035</w:t>
            </w:r>
          </w:p>
        </w:tc>
        <w:tc>
          <w:tcPr>
            <w:tcW w:w="2717" w:type="dxa"/>
          </w:tcPr>
          <w:p w:rsidR="00B67DD8" w:rsidRPr="00B67DD8" w:rsidP="00B67DD8" w14:paraId="4D3F6E7F"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r w:rsidRPr="00B67DD8">
              <w:rPr>
                <w:rFonts w:ascii="Arial" w:hAnsi="Arial" w:eastAsiaTheme="minorHAnsi" w:cs="Arial"/>
                <w:snapToGrid/>
                <w:sz w:val="22"/>
                <w:szCs w:val="22"/>
                <w:lang w:val="en-US" w:eastAsia="en-US" w:bidi="ar-SA"/>
              </w:rPr>
              <w:t>135,000</w:t>
            </w:r>
          </w:p>
        </w:tc>
        <w:tc>
          <w:tcPr>
            <w:tcW w:w="1260" w:type="dxa"/>
          </w:tcPr>
          <w:p w:rsidR="00B67DD8" w:rsidRPr="00B67DD8" w:rsidP="00B67DD8" w14:paraId="157EEB9C" w14:textId="77777777">
            <w:pPr>
              <w:widowControl/>
              <w:suppressAutoHyphens/>
              <w:spacing w:after="0" w:line="240" w:lineRule="auto"/>
              <w:jc w:val="center"/>
              <w:rPr>
                <w:rFonts w:ascii="Arial" w:hAnsi="Arial" w:eastAsiaTheme="minorHAnsi" w:cs="Arial"/>
                <w:snapToGrid/>
                <w:sz w:val="22"/>
                <w:szCs w:val="22"/>
                <w:lang w:val="en-US" w:eastAsia="en-US" w:bidi="ar-SA"/>
              </w:rPr>
            </w:pPr>
          </w:p>
        </w:tc>
        <w:tc>
          <w:tcPr>
            <w:tcW w:w="2605" w:type="dxa"/>
          </w:tcPr>
          <w:p w:rsidR="00B67DD8" w:rsidRPr="00B67DD8" w:rsidP="00B67DD8" w14:paraId="4121819C" w14:textId="77777777">
            <w:pPr>
              <w:widowControl/>
              <w:suppressAutoHyphens/>
              <w:spacing w:after="0" w:line="240" w:lineRule="auto"/>
              <w:ind w:left="-330" w:right="666"/>
              <w:jc w:val="right"/>
              <w:rPr>
                <w:rFonts w:ascii="Arial" w:hAnsi="Arial" w:eastAsiaTheme="minorHAnsi" w:cs="Arial"/>
                <w:snapToGrid/>
                <w:sz w:val="22"/>
                <w:szCs w:val="22"/>
                <w:lang w:val="en-US" w:eastAsia="en-US" w:bidi="ar-SA"/>
              </w:rPr>
            </w:pPr>
          </w:p>
        </w:tc>
      </w:tr>
    </w:tbl>
    <w:p w:rsidR="00B67DD8" w:rsidRPr="00B67DD8" w:rsidP="00B67DD8" w14:paraId="758AD89B" w14:textId="77777777">
      <w:pPr>
        <w:widowControl/>
        <w:jc w:val="both"/>
        <w:rPr>
          <w:rFonts w:ascii="Arial" w:hAnsi="Arial" w:eastAsiaTheme="minorHAnsi" w:cs="Arial"/>
          <w:b/>
          <w:bCs/>
          <w:snapToGrid/>
          <w:sz w:val="22"/>
          <w:szCs w:val="22"/>
        </w:rPr>
      </w:pPr>
    </w:p>
    <w:p w:rsidR="00B67DD8" w:rsidRPr="00B67DD8" w:rsidP="00B67DD8" w14:paraId="6AA4A279" w14:textId="77777777">
      <w:pPr>
        <w:widowControl/>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Adjustment of Maturities</w:t>
      </w:r>
    </w:p>
    <w:p w:rsidR="00B67DD8" w:rsidRPr="00B67DD8" w:rsidP="00B67DD8" w14:paraId="48F9F903" w14:textId="77777777">
      <w:pPr>
        <w:widowControl/>
        <w:jc w:val="both"/>
        <w:rPr>
          <w:rFonts w:ascii="Arial" w:hAnsi="Arial" w:eastAsiaTheme="minorHAnsi" w:cs="Arial"/>
          <w:bCs/>
          <w:snapToGrid/>
          <w:sz w:val="22"/>
          <w:szCs w:val="22"/>
        </w:rPr>
      </w:pPr>
    </w:p>
    <w:p w:rsidR="00B67DD8" w:rsidRPr="00B67DD8" w:rsidP="00B67DD8" w14:paraId="38D2C800" w14:textId="77777777">
      <w:pPr>
        <w:widowControl/>
        <w:jc w:val="both"/>
        <w:rPr>
          <w:rFonts w:ascii="Arial" w:hAnsi="Arial" w:eastAsiaTheme="minorHAnsi" w:cs="Arial"/>
          <w:b/>
          <w:bCs/>
          <w:snapToGrid/>
          <w:sz w:val="22"/>
          <w:szCs w:val="22"/>
        </w:rPr>
      </w:pPr>
      <w:r w:rsidRPr="00B67DD8">
        <w:rPr>
          <w:rFonts w:ascii="Arial" w:hAnsi="Arial" w:eastAsiaTheme="minorHAnsi" w:cs="Arial"/>
          <w:bCs/>
          <w:snapToGrid/>
          <w:sz w:val="22"/>
          <w:szCs w:val="22"/>
        </w:rPr>
        <w:tab/>
        <w:t>The Borough may, and expects to, after the receipt and opening of bids, adjust the maturity schedule of the Bonds, provided however, that (i) no maturity schedule adjustment shall exceed ten percent (10%) upward or downward of the principal for any maturity of Bonds as specified herein, and (ii) the aggregate adjustment to the maturity schedule shall not exceed ten percent (10%) upward or downward of the aggregate principal amount of Bonds, as specified herein, and the aggregate principal amount of Bonds, as adjusted, shall not exceed $2,342,000.  The dollar amount bid by the successful bidder shall be adjusted to reflect any adjustments in the aggregate principal amount of the Bonds to be issued.  The adjusted bid price will reflect changes in the dollar amount of the underwriter’s discount and the original issue premium or discount, but will not change the per bond underwriter’s discount, as calculated from the bid, and the Initial Public Offering Prices required to be delivered to the Borough, as stated herein.</w:t>
      </w:r>
    </w:p>
    <w:p w:rsidR="00B67DD8" w:rsidRPr="00B67DD8" w:rsidP="00B67DD8" w14:paraId="094F6EA9" w14:textId="77777777">
      <w:pPr>
        <w:widowControl/>
        <w:jc w:val="both"/>
        <w:rPr>
          <w:rFonts w:ascii="Arial" w:hAnsi="Arial" w:eastAsiaTheme="minorHAnsi" w:cs="Arial"/>
          <w:bCs/>
          <w:snapToGrid/>
          <w:sz w:val="22"/>
          <w:szCs w:val="22"/>
        </w:rPr>
      </w:pPr>
    </w:p>
    <w:p w:rsidR="00B67DD8" w:rsidRPr="00B67DD8" w:rsidP="00B67DD8" w14:paraId="475507E2" w14:textId="77777777">
      <w:pPr>
        <w:widowControl/>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Book-entry</w:t>
      </w:r>
    </w:p>
    <w:p w:rsidR="00B67DD8" w:rsidRPr="00B67DD8" w:rsidP="00B67DD8" w14:paraId="241C55AD" w14:textId="77777777">
      <w:pPr>
        <w:widowControl/>
        <w:jc w:val="both"/>
        <w:rPr>
          <w:rFonts w:ascii="Arial" w:hAnsi="Arial" w:eastAsiaTheme="minorHAnsi" w:cs="Arial"/>
          <w:b/>
          <w:bCs/>
          <w:snapToGrid/>
          <w:sz w:val="22"/>
          <w:szCs w:val="22"/>
        </w:rPr>
      </w:pPr>
    </w:p>
    <w:p w:rsidR="00B67DD8" w:rsidRPr="00B67DD8" w:rsidP="00B67DD8" w14:paraId="6E0F88E3" w14:textId="77777777">
      <w:pPr>
        <w:widowControl/>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ab/>
      </w:r>
      <w:r w:rsidRPr="00B67DD8">
        <w:rPr>
          <w:rFonts w:ascii="Arial" w:hAnsi="Arial" w:eastAsiaTheme="minorHAnsi" w:cs="Arial"/>
          <w:snapToGrid/>
          <w:sz w:val="22"/>
          <w:szCs w:val="22"/>
        </w:rPr>
        <w:t>The Bonds will be issued in book-entry form, and each certificate will be registered in the name of Cede &amp; Co., as nominee of DTC, which will act as securities depository (“Securities Depository”) for the Bonds.  The Bonds will be issued in the form of one certificate for the aggregate principal amount of the Bonds maturing in each year and will be payable as to both principal and interest in lawful money of the United States of America.  The certificates will be on deposit with DTC.  DTC will be responsible for maintaining a book-entry system for recording the interests of its Participants (“Participants”) or the transfers of the interests among its Participants.  The Participants will be responsible for maintaining records regarding the beneficial ownership interests in the Bonds on behalf of the individual purchasers.  The Winning Bidder will not receive certificates representing their interests in the Bonds.  Individual purchases of the Bonds may be made in the principal amount of $5,000 each or any integral multiple of $1,000 in excess thereof, through book entries made on the books and records of DTC and its Participants.  Payments of principal, interest and redemption premium, if any, on the Bonds will be made by the Borough or a paying agent designated by the Borough, to DTC for subsequent disbursement to the Participants to then be remitted to the Beneficial Owners of the Bonds.  It shall be the obligation of the Winning Bidder to furnish to DTC an underwriter’s questionnaire and the denominations of the Bonds not less than seventy-two (72) hours prior to the delivery of the Bonds.</w:t>
      </w:r>
    </w:p>
    <w:p w:rsidR="00B67DD8" w:rsidRPr="00B67DD8" w:rsidP="00B67DD8" w14:paraId="650371C3" w14:textId="77777777">
      <w:pPr>
        <w:widowControl/>
        <w:jc w:val="both"/>
        <w:rPr>
          <w:rFonts w:ascii="Arial" w:hAnsi="Arial" w:eastAsiaTheme="minorHAnsi" w:cs="Arial"/>
          <w:b/>
          <w:bCs/>
          <w:snapToGrid/>
          <w:sz w:val="22"/>
          <w:szCs w:val="22"/>
        </w:rPr>
      </w:pPr>
    </w:p>
    <w:p w:rsidR="00B67DD8" w:rsidRPr="00B67DD8" w:rsidP="00B67DD8" w14:paraId="50302513" w14:textId="77777777">
      <w:pPr>
        <w:widowControl/>
        <w:jc w:val="both"/>
        <w:rPr>
          <w:rFonts w:ascii="Arial" w:hAnsi="Arial" w:eastAsiaTheme="minorHAnsi" w:cs="Arial"/>
          <w:snapToGrid/>
          <w:sz w:val="22"/>
          <w:szCs w:val="22"/>
        </w:rPr>
      </w:pPr>
      <w:r w:rsidRPr="00B67DD8">
        <w:rPr>
          <w:rFonts w:ascii="Arial" w:hAnsi="Arial" w:eastAsiaTheme="minorHAnsi" w:cs="Arial"/>
          <w:b/>
          <w:bCs/>
          <w:snapToGrid/>
          <w:sz w:val="22"/>
          <w:szCs w:val="22"/>
        </w:rPr>
        <w:t>Redemption Provisions</w:t>
      </w:r>
    </w:p>
    <w:p w:rsidR="00B67DD8" w:rsidRPr="00B67DD8" w:rsidP="00B67DD8" w14:paraId="620B1E92" w14:textId="77777777">
      <w:pPr>
        <w:widowControl/>
        <w:jc w:val="both"/>
        <w:rPr>
          <w:rFonts w:ascii="Arial" w:hAnsi="Arial" w:eastAsiaTheme="minorHAnsi" w:cs="Arial"/>
          <w:snapToGrid/>
          <w:sz w:val="22"/>
          <w:szCs w:val="22"/>
        </w:rPr>
      </w:pPr>
    </w:p>
    <w:p w:rsidR="00B67DD8" w:rsidRPr="00B67DD8" w:rsidP="00B67DD8" w14:paraId="5FA0AA9E" w14:textId="77777777">
      <w:pPr>
        <w:widowControl/>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eastAsiaTheme="minorHAnsi" w:cs="Arial"/>
          <w:snapToGrid/>
          <w:spacing w:val="-3"/>
          <w:sz w:val="22"/>
          <w:szCs w:val="22"/>
        </w:rPr>
      </w:pPr>
      <w:r w:rsidRPr="00B67DD8">
        <w:rPr>
          <w:rFonts w:ascii="Arial" w:hAnsi="Arial" w:eastAsiaTheme="minorHAnsi" w:cs="Arial"/>
          <w:snapToGrid/>
          <w:sz w:val="22"/>
          <w:szCs w:val="22"/>
        </w:rPr>
        <w:tab/>
      </w:r>
      <w:r w:rsidRPr="00B67DD8">
        <w:rPr>
          <w:rFonts w:ascii="Arial" w:hAnsi="Arial" w:eastAsiaTheme="minorHAnsi" w:cs="Arial"/>
          <w:snapToGrid/>
          <w:spacing w:val="-3"/>
          <w:sz w:val="22"/>
          <w:szCs w:val="22"/>
        </w:rPr>
        <w:t>The Bonds of this issue maturing prior to July 15, 2037 are not subject to redemption prior to their stated maturities.  The Bonds of this issue maturing on or after July 15, 2037 are subject to redemption at the option of the Borough, in whole or in part, on any date on or after July 15, 2036, upon notice as required herein at one hundred percent (100%) of the principal amount being redeemed (the “Redemption Price”), plus accrued interest to the date fixed for redemption.</w:t>
      </w:r>
    </w:p>
    <w:p w:rsidR="00B67DD8" w:rsidRPr="00B67DD8" w:rsidP="00B67DD8" w14:paraId="31BE5899" w14:textId="77777777">
      <w:pPr>
        <w:widowControl/>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eastAsiaTheme="minorHAnsi" w:cs="Arial"/>
          <w:snapToGrid/>
          <w:spacing w:val="-3"/>
          <w:sz w:val="22"/>
          <w:szCs w:val="22"/>
        </w:rPr>
      </w:pPr>
    </w:p>
    <w:p w:rsidR="00B67DD8" w:rsidRPr="00B67DD8" w:rsidP="00B67DD8" w14:paraId="6E59C051" w14:textId="77777777">
      <w:pPr>
        <w:widowControl/>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eastAsiaTheme="minorHAnsi" w:cs="Arial"/>
          <w:snapToGrid/>
          <w:spacing w:val="-3"/>
          <w:sz w:val="22"/>
          <w:szCs w:val="22"/>
        </w:rPr>
      </w:pPr>
      <w:r w:rsidRPr="00B67DD8">
        <w:rPr>
          <w:rFonts w:ascii="Arial" w:hAnsi="Arial" w:eastAsiaTheme="minorHAnsi" w:cs="Arial"/>
          <w:snapToGrid/>
          <w:spacing w:val="-3"/>
          <w:sz w:val="22"/>
          <w:szCs w:val="22"/>
        </w:rPr>
        <w:tab/>
        <w:t>Notice of Redemption ("Notice of Redemption") shall be given by first class mail, at least thirty (30) but not more than sixty (60) days prior to the date fixed for redemption, in a sealed envelope with postage prepaid to the owners of the Bonds at their respective addresses as they last appear on the registration books kept for that purpose by the Borough or a duly appointed bond registrar.  So long as The Depository Trust Company (or any successor thereto) acts as Securities Depository for the Bonds, Notices of Redemption shall be sent to such Securities Depository and shall not be sent to the beneficial owners of the Bonds.  Any failure of the Securities Depository to advise any of its Participants or any failure of any Participant to notify any beneficial owner of any Notice of Redemption shall not affect the validity of the redemption proceedings.  If the Borough determines to redeem a portion of the Bonds prior to maturity, such Bonds shall be redeemed by the Borough in inverse order of maturity and within any maturity shall be selected by the Borough by lot.</w:t>
      </w:r>
    </w:p>
    <w:p w:rsidR="00B67DD8" w:rsidRPr="00B67DD8" w:rsidP="00B67DD8" w14:paraId="0433E25C"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056"/>
        </w:tabs>
        <w:suppressAutoHyphens/>
        <w:jc w:val="both"/>
        <w:rPr>
          <w:rFonts w:ascii="Arial" w:hAnsi="Arial" w:eastAsiaTheme="minorHAnsi" w:cs="Arial"/>
          <w:snapToGrid/>
          <w:spacing w:val="-3"/>
          <w:sz w:val="22"/>
          <w:szCs w:val="22"/>
        </w:rPr>
      </w:pPr>
    </w:p>
    <w:p w:rsidR="00B67DD8" w:rsidRPr="00B67DD8" w:rsidP="00B67DD8" w14:paraId="557F8B82" w14:textId="77777777">
      <w:pPr>
        <w:widowControl/>
        <w:tabs>
          <w:tab w:val="left" w:pos="-1440"/>
          <w:tab w:val="left" w:pos="-720"/>
          <w:tab w:val="left" w:pos="720"/>
          <w:tab w:val="left" w:pos="2160"/>
          <w:tab w:val="left" w:pos="2880"/>
          <w:tab w:val="left" w:pos="3600"/>
          <w:tab w:val="left" w:pos="4320"/>
          <w:tab w:val="left" w:pos="5040"/>
          <w:tab w:val="left" w:pos="5760"/>
          <w:tab w:val="left" w:pos="6480"/>
          <w:tab w:val="left" w:pos="7056"/>
        </w:tabs>
        <w:suppressAutoHyphens/>
        <w:jc w:val="both"/>
        <w:rPr>
          <w:rFonts w:ascii="Arial" w:hAnsi="Arial" w:eastAsiaTheme="minorHAnsi" w:cs="Arial"/>
          <w:snapToGrid/>
          <w:sz w:val="22"/>
          <w:szCs w:val="22"/>
        </w:rPr>
      </w:pPr>
      <w:r w:rsidRPr="00B67DD8">
        <w:rPr>
          <w:rFonts w:ascii="Arial" w:hAnsi="Arial" w:eastAsiaTheme="minorHAnsi" w:cs="Arial"/>
          <w:snapToGrid/>
          <w:spacing w:val="-3"/>
          <w:sz w:val="22"/>
          <w:szCs w:val="22"/>
        </w:rPr>
        <w:tab/>
        <w:t>If Notice of Redemption has been given as provided herein, the Bonds or the portion thereof called for redemption shall be due and payable on the date fixed for redemption at the Redemption Price, together with accrued and unpaid interest to the date fixed for redemption</w:t>
      </w:r>
      <w:r w:rsidRPr="00B67DD8">
        <w:rPr>
          <w:rFonts w:ascii="Arial" w:hAnsi="Arial" w:eastAsiaTheme="minorHAnsi" w:cs="Arial"/>
          <w:snapToGrid/>
          <w:sz w:val="22"/>
          <w:szCs w:val="22"/>
        </w:rPr>
        <w:t>.</w:t>
      </w:r>
    </w:p>
    <w:p w:rsidR="00B67DD8" w:rsidRPr="00B67DD8" w:rsidP="00B67DD8" w14:paraId="1917DAE3" w14:textId="77777777">
      <w:pPr>
        <w:widowControl/>
        <w:suppressAutoHyphens/>
        <w:jc w:val="both"/>
        <w:rPr>
          <w:rFonts w:ascii="Arial" w:hAnsi="Arial" w:eastAsiaTheme="minorHAnsi" w:cs="Arial"/>
          <w:b/>
          <w:snapToGrid/>
          <w:sz w:val="22"/>
          <w:szCs w:val="22"/>
        </w:rPr>
      </w:pPr>
    </w:p>
    <w:p w:rsidR="00B67DD8" w:rsidRPr="00B67DD8" w:rsidP="00B67DD8" w14:paraId="4334F614" w14:textId="77777777">
      <w:pPr>
        <w:widowControl/>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Term Bond Option</w:t>
      </w:r>
    </w:p>
    <w:p w:rsidR="00B67DD8" w:rsidRPr="00B67DD8" w:rsidP="00B67DD8" w14:paraId="61D13F45" w14:textId="77777777">
      <w:pPr>
        <w:widowControl/>
        <w:jc w:val="both"/>
        <w:rPr>
          <w:rFonts w:ascii="Arial" w:hAnsi="Arial" w:eastAsiaTheme="minorHAnsi" w:cs="Arial"/>
          <w:b/>
          <w:bCs/>
          <w:snapToGrid/>
          <w:sz w:val="22"/>
          <w:szCs w:val="22"/>
        </w:rPr>
      </w:pPr>
    </w:p>
    <w:p w:rsidR="00B67DD8" w:rsidRPr="00B67DD8" w:rsidP="00B67DD8" w14:paraId="33752A63"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 xml:space="preserve">Bidders may </w:t>
      </w:r>
      <w:r w:rsidRPr="00B67DD8">
        <w:rPr>
          <w:rFonts w:ascii="Arial" w:hAnsi="Arial" w:eastAsiaTheme="minorHAnsi" w:cs="Arial"/>
          <w:snapToGrid/>
          <w:sz w:val="22"/>
          <w:szCs w:val="22"/>
          <w:u w:val="single"/>
        </w:rPr>
        <w:t>not</w:t>
      </w:r>
      <w:r w:rsidRPr="00B67DD8">
        <w:rPr>
          <w:rFonts w:ascii="Arial" w:hAnsi="Arial" w:eastAsiaTheme="minorHAnsi" w:cs="Arial"/>
          <w:snapToGrid/>
          <w:sz w:val="22"/>
          <w:szCs w:val="22"/>
        </w:rPr>
        <w:t xml:space="preserve"> elect to structure the issue to include term bonds.</w:t>
      </w:r>
    </w:p>
    <w:p w:rsidR="00B67DD8" w:rsidRPr="00B67DD8" w:rsidP="00B67DD8" w14:paraId="30E7D628" w14:textId="77777777">
      <w:pPr>
        <w:widowControl/>
        <w:jc w:val="both"/>
        <w:rPr>
          <w:rFonts w:ascii="Arial" w:hAnsi="Arial" w:eastAsiaTheme="minorHAnsi" w:cs="Arial"/>
          <w:b/>
          <w:bCs/>
          <w:sz w:val="22"/>
          <w:szCs w:val="22"/>
        </w:rPr>
      </w:pPr>
    </w:p>
    <w:p w:rsidR="00B67DD8" w:rsidRPr="00B67DD8" w:rsidP="00B67DD8" w14:paraId="490F8D3B" w14:textId="77777777">
      <w:pPr>
        <w:widowControl/>
        <w:jc w:val="both"/>
        <w:rPr>
          <w:rFonts w:ascii="Arial" w:hAnsi="Arial" w:eastAsiaTheme="minorHAnsi" w:cs="Arial"/>
          <w:b/>
          <w:bCs/>
          <w:sz w:val="22"/>
          <w:szCs w:val="22"/>
        </w:rPr>
      </w:pPr>
    </w:p>
    <w:p w:rsidR="00B67DD8" w:rsidRPr="00B67DD8" w:rsidP="00B67DD8" w14:paraId="74A9DBF5" w14:textId="77777777">
      <w:pPr>
        <w:widowControl/>
        <w:jc w:val="both"/>
        <w:rPr>
          <w:rFonts w:ascii="Arial" w:hAnsi="Arial" w:eastAsiaTheme="minorHAnsi" w:cs="Arial"/>
          <w:b/>
          <w:bCs/>
          <w:sz w:val="22"/>
          <w:szCs w:val="22"/>
        </w:rPr>
      </w:pPr>
    </w:p>
    <w:p w:rsidR="00B67DD8" w:rsidRPr="00B67DD8" w:rsidP="00B67DD8" w14:paraId="336849CE" w14:textId="77777777">
      <w:pPr>
        <w:widowControl/>
        <w:jc w:val="both"/>
        <w:rPr>
          <w:rFonts w:ascii="Arial" w:hAnsi="Arial" w:eastAsiaTheme="minorHAnsi" w:cs="Arial"/>
          <w:b/>
          <w:bCs/>
          <w:sz w:val="22"/>
          <w:szCs w:val="22"/>
        </w:rPr>
      </w:pPr>
    </w:p>
    <w:p w:rsidR="00B67DD8" w:rsidRPr="00B67DD8" w:rsidP="00B67DD8" w14:paraId="42E42ACB" w14:textId="77777777">
      <w:pPr>
        <w:widowControl/>
        <w:rPr>
          <w:rFonts w:ascii="Arial" w:hAnsi="Arial" w:eastAsiaTheme="minorHAnsi" w:cs="Arial"/>
          <w:b/>
          <w:bCs/>
          <w:sz w:val="22"/>
          <w:szCs w:val="22"/>
        </w:rPr>
      </w:pPr>
      <w:r w:rsidRPr="00B67DD8">
        <w:rPr>
          <w:rFonts w:ascii="Arial" w:hAnsi="Arial" w:eastAsiaTheme="minorHAnsi" w:cs="Arial"/>
          <w:b/>
          <w:bCs/>
          <w:sz w:val="22"/>
          <w:szCs w:val="22"/>
        </w:rPr>
        <w:t>Terms of PARITY</w:t>
      </w:r>
    </w:p>
    <w:p w:rsidR="00B67DD8" w:rsidRPr="00B67DD8" w:rsidP="00B67DD8" w14:paraId="464A881C" w14:textId="77777777">
      <w:pPr>
        <w:widowControl/>
        <w:jc w:val="both"/>
        <w:rPr>
          <w:rFonts w:ascii="Arial" w:hAnsi="Arial" w:eastAsiaTheme="minorHAnsi" w:cs="Arial"/>
          <w:sz w:val="22"/>
          <w:szCs w:val="22"/>
        </w:rPr>
      </w:pPr>
    </w:p>
    <w:p w:rsidR="00B67DD8" w:rsidRPr="00B67DD8" w:rsidP="00B67DD8" w14:paraId="34547643" w14:textId="77777777">
      <w:pPr>
        <w:widowControl/>
        <w:jc w:val="both"/>
        <w:rPr>
          <w:rFonts w:ascii="Arial" w:hAnsi="Arial" w:eastAsiaTheme="minorHAnsi" w:cs="Arial"/>
          <w:sz w:val="22"/>
          <w:szCs w:val="22"/>
        </w:rPr>
      </w:pPr>
      <w:r w:rsidRPr="00B67DD8">
        <w:rPr>
          <w:rFonts w:ascii="Arial" w:hAnsi="Arial" w:eastAsiaTheme="minorHAnsi" w:cs="Arial"/>
          <w:sz w:val="22"/>
          <w:szCs w:val="22"/>
        </w:rPr>
        <w:tab/>
        <w:t>Each electronic bid must be submitted via PARITY.  No Bidder will see any other Bidder’s Bid, nor will any Bidder see the status of its Bid relative to other Bids (e.g., whether its Bid is a leading bid).  To the extent any instructions or directions set forth on PARITY conflict with this Notice of Sale, the terms of this Notice of Sale shall control.  For further information about PARITY, potential bidders may contact the Borough’s Municipal Advisor, Jennifer G. Edwards</w:t>
      </w:r>
      <w:r w:rsidRPr="00B67DD8">
        <w:rPr>
          <w:rFonts w:ascii="Arial" w:hAnsi="Arial" w:eastAsiaTheme="minorHAnsi" w:cs="Arial"/>
          <w:bCs/>
          <w:sz w:val="22"/>
          <w:szCs w:val="22"/>
        </w:rPr>
        <w:t xml:space="preserve"> of Acacia Financial Group, Inc., at (856) 234-2266 or PARITY at (212) 849-5021</w:t>
      </w:r>
      <w:r w:rsidRPr="00B67DD8">
        <w:rPr>
          <w:rFonts w:ascii="Arial" w:hAnsi="Arial" w:eastAsiaTheme="minorHAnsi" w:cs="Arial"/>
          <w:sz w:val="22"/>
          <w:szCs w:val="22"/>
        </w:rPr>
        <w:t>.  The Borough may, but is not obligated to, acknowledge its acceptance in writing of any Bid submitted electronically via PARITY.  When a Bid for the Bonds is submitted via PARITY, the Bidder further agrees that the Borough may regard the electronic transmission of the Bid via PARITY (including information about the purchase price of the Bonds, the interest rate or rates to be borne by the various maturities of the Bonds, the initial public offering price of each maturity of the Bonds and any other information included in such transmission) as the official “Bid for Bonds” executed by a duly authorized signatory of the Bidder.  If the Bid submitted electronically via PARITY is accepted by the Borough, the terms of the Bid and this Notice of Sale and the information that is electronically transmitted via PARITY shall form a contract, and the successful bidder shall be bound by the terms of such contract.</w:t>
      </w:r>
    </w:p>
    <w:p w:rsidR="00B67DD8" w:rsidRPr="00B67DD8" w:rsidP="00B67DD8" w14:paraId="2749A4E2" w14:textId="77777777">
      <w:pPr>
        <w:widowControl/>
        <w:jc w:val="both"/>
        <w:rPr>
          <w:rFonts w:ascii="Arial" w:hAnsi="Arial" w:eastAsiaTheme="minorHAnsi" w:cs="Arial"/>
          <w:sz w:val="22"/>
          <w:szCs w:val="22"/>
        </w:rPr>
      </w:pPr>
    </w:p>
    <w:p w:rsidR="00B67DD8" w:rsidRPr="00B67DD8" w:rsidP="00B67DD8" w14:paraId="4F4742F3" w14:textId="77777777">
      <w:pPr>
        <w:widowControl/>
        <w:jc w:val="both"/>
        <w:rPr>
          <w:rFonts w:ascii="Arial" w:hAnsi="Arial" w:eastAsiaTheme="minorHAnsi" w:cs="Arial"/>
          <w:sz w:val="22"/>
          <w:szCs w:val="22"/>
        </w:rPr>
      </w:pPr>
      <w:r w:rsidRPr="00B67DD8">
        <w:rPr>
          <w:rFonts w:ascii="Arial" w:hAnsi="Arial" w:eastAsiaTheme="minorHAnsi" w:cs="Arial"/>
          <w:sz w:val="22"/>
          <w:szCs w:val="22"/>
        </w:rPr>
        <w:tab/>
        <w:t xml:space="preserve">PARITY is not an agent of the Borough, and the Borough shall have no liability whatsoever based on any Bidder’s use of PARITY, including, but not limited to, any failure by PARITY to correctly or timely transmit information provided by the Borough or information provided by the Bidder. </w:t>
      </w:r>
    </w:p>
    <w:p w:rsidR="00B67DD8" w:rsidRPr="00B67DD8" w:rsidP="00B67DD8" w14:paraId="7BE03DBD" w14:textId="77777777">
      <w:pPr>
        <w:widowControl/>
        <w:jc w:val="both"/>
        <w:rPr>
          <w:rFonts w:ascii="Arial" w:hAnsi="Arial" w:eastAsiaTheme="minorHAnsi" w:cs="Arial"/>
          <w:sz w:val="22"/>
          <w:szCs w:val="22"/>
        </w:rPr>
      </w:pPr>
    </w:p>
    <w:p w:rsidR="00B67DD8" w:rsidRPr="00B67DD8" w:rsidP="00B67DD8" w14:paraId="64AD7737" w14:textId="77777777">
      <w:pPr>
        <w:widowControl/>
        <w:jc w:val="both"/>
        <w:rPr>
          <w:rFonts w:ascii="Arial" w:hAnsi="Arial" w:eastAsiaTheme="minorHAnsi" w:cs="Arial"/>
          <w:sz w:val="22"/>
          <w:szCs w:val="22"/>
        </w:rPr>
      </w:pPr>
      <w:r w:rsidRPr="00B67DD8">
        <w:rPr>
          <w:rFonts w:ascii="Arial" w:hAnsi="Arial" w:eastAsiaTheme="minorHAnsi" w:cs="Arial"/>
          <w:sz w:val="22"/>
          <w:szCs w:val="22"/>
        </w:rPr>
        <w:tab/>
        <w:t>The Borough may, in its sole discretion and prior to the electronic receipt of Bids, clarify any term hereof, including, without limitation, its decision to discontinue use of electronic bidding via PARITY, by issuing a notification of the clarification via TM3, or any other available means, prior to 11:00 a.m., prevailing New Jersey time, on the Bid Date.</w:t>
      </w:r>
    </w:p>
    <w:p w:rsidR="00B67DD8" w:rsidRPr="00B67DD8" w:rsidP="00B67DD8" w14:paraId="6DC3670C" w14:textId="77777777">
      <w:pPr>
        <w:widowControl/>
        <w:jc w:val="both"/>
        <w:rPr>
          <w:rFonts w:ascii="Arial" w:hAnsi="Arial" w:eastAsiaTheme="minorHAnsi" w:cs="Arial"/>
          <w:sz w:val="22"/>
          <w:szCs w:val="22"/>
        </w:rPr>
      </w:pPr>
    </w:p>
    <w:p w:rsidR="00B67DD8" w:rsidRPr="00B67DD8" w:rsidP="00B67DD8" w14:paraId="7C55310A" w14:textId="77777777">
      <w:pPr>
        <w:widowControl/>
        <w:jc w:val="both"/>
        <w:rPr>
          <w:rFonts w:ascii="Arial" w:hAnsi="Arial" w:eastAsiaTheme="minorHAnsi" w:cs="Arial"/>
          <w:sz w:val="22"/>
          <w:szCs w:val="22"/>
        </w:rPr>
      </w:pPr>
      <w:r w:rsidRPr="00B67DD8">
        <w:rPr>
          <w:rFonts w:ascii="Arial" w:hAnsi="Arial" w:eastAsiaTheme="minorHAnsi" w:cs="Arial"/>
          <w:sz w:val="22"/>
          <w:szCs w:val="22"/>
        </w:rPr>
        <w:tab/>
        <w:t xml:space="preserve">Once the Bids are communicated electronically via PARITY to the Borough, each Bid will constitute an official “Bid for Bonds” and shall be deemed to be an irrevocable offer to purchase the Bonds on the terms provided in this Notice of Sale.  For purposes of submitting all “Bids for Bonds” electronically via PARITY, the time as maintained on PARITY shall constitute the official time. </w:t>
      </w:r>
    </w:p>
    <w:p w:rsidR="00B67DD8" w:rsidRPr="00B67DD8" w:rsidP="00B67DD8" w14:paraId="6B474C3C" w14:textId="77777777">
      <w:pPr>
        <w:widowControl/>
        <w:jc w:val="both"/>
        <w:rPr>
          <w:rFonts w:ascii="Arial" w:hAnsi="Arial" w:eastAsiaTheme="minorHAnsi" w:cs="Arial"/>
          <w:sz w:val="22"/>
          <w:szCs w:val="22"/>
        </w:rPr>
      </w:pPr>
    </w:p>
    <w:p w:rsidR="00B67DD8" w:rsidRPr="00B67DD8" w:rsidP="00B67DD8" w14:paraId="29448086" w14:textId="77777777">
      <w:pPr>
        <w:widowControl/>
        <w:jc w:val="both"/>
        <w:rPr>
          <w:rFonts w:ascii="Arial" w:hAnsi="Arial" w:eastAsiaTheme="minorHAnsi" w:cs="Arial"/>
          <w:b/>
          <w:bCs/>
          <w:snapToGrid/>
          <w:sz w:val="22"/>
          <w:szCs w:val="22"/>
        </w:rPr>
      </w:pPr>
      <w:r w:rsidRPr="00B67DD8">
        <w:rPr>
          <w:rFonts w:ascii="Arial" w:hAnsi="Arial" w:eastAsiaTheme="minorHAnsi" w:cs="Arial"/>
          <w:sz w:val="22"/>
          <w:szCs w:val="22"/>
        </w:rPr>
        <w:tab/>
        <w:t>Each Bidder shall be solely responsible to make necessary arrangements to access PARITY for purposes of submitting its Bid in a timely manner and in compliance with the requirements of this Notice of Sale.  Neither the Borough nor PARITY shall have any duty or obligation to provide or assure to any Bidder, and neither the Borough nor PARITY shall be responsible for the proper operation of, or have any liability for any delays or interruptions of, or any damages caused by, PARITY.  The Borough is using PARITY as a communication mechanism, and not as the Borough’s agent, to conduct the electronic bidding for the Bonds.  By using PARITY, each Bidder agrees to hold the Borough harmless for any harm or damages caused to such Bidder in connection with its use of PARITY for bidding on the Bonds.</w:t>
      </w:r>
    </w:p>
    <w:p w:rsidR="00B67DD8" w:rsidRPr="00B67DD8" w:rsidP="00B67DD8" w14:paraId="44036FB8" w14:textId="77777777">
      <w:pPr>
        <w:widowControl/>
        <w:jc w:val="both"/>
        <w:rPr>
          <w:rFonts w:ascii="Arial" w:hAnsi="Arial" w:eastAsiaTheme="minorHAnsi" w:cs="Arial"/>
          <w:b/>
          <w:bCs/>
          <w:snapToGrid/>
          <w:sz w:val="22"/>
          <w:szCs w:val="22"/>
        </w:rPr>
      </w:pPr>
    </w:p>
    <w:p w:rsidR="00B67DD8" w:rsidRPr="00B67DD8" w:rsidP="00B67DD8" w14:paraId="52E1B3EB" w14:textId="77777777">
      <w:pPr>
        <w:widowControl/>
        <w:rPr>
          <w:rFonts w:ascii="Arial" w:hAnsi="Arial" w:eastAsiaTheme="minorHAnsi" w:cs="Arial"/>
          <w:b/>
          <w:bCs/>
          <w:snapToGrid/>
          <w:sz w:val="22"/>
          <w:szCs w:val="22"/>
        </w:rPr>
      </w:pPr>
      <w:r w:rsidRPr="00B67DD8">
        <w:rPr>
          <w:rFonts w:ascii="Arial" w:hAnsi="Arial" w:eastAsiaTheme="minorHAnsi" w:cs="Arial"/>
          <w:b/>
          <w:bCs/>
          <w:snapToGrid/>
          <w:sz w:val="22"/>
          <w:szCs w:val="22"/>
        </w:rPr>
        <w:t>Bidding Details</w:t>
      </w:r>
    </w:p>
    <w:p w:rsidR="00B67DD8" w:rsidRPr="00B67DD8" w:rsidP="00B67DD8" w14:paraId="37C0228D" w14:textId="77777777">
      <w:pPr>
        <w:widowControl/>
        <w:jc w:val="both"/>
        <w:rPr>
          <w:rFonts w:ascii="Arial" w:hAnsi="Arial" w:eastAsiaTheme="minorHAnsi" w:cs="Arial"/>
          <w:snapToGrid/>
          <w:sz w:val="22"/>
          <w:szCs w:val="22"/>
        </w:rPr>
      </w:pPr>
    </w:p>
    <w:p w:rsidR="00B67DD8" w:rsidRPr="00B67DD8" w:rsidP="00B67DD8" w14:paraId="60FA4F71" w14:textId="77777777">
      <w:pPr>
        <w:widowControl/>
        <w:jc w:val="both"/>
        <w:rPr>
          <w:rFonts w:ascii="Arial" w:hAnsi="Arial" w:eastAsiaTheme="minorHAnsi" w:cs="Arial"/>
          <w:snapToGrid/>
          <w:sz w:val="22"/>
          <w:szCs w:val="22"/>
        </w:rPr>
      </w:pPr>
      <w:r w:rsidRPr="00B67DD8">
        <w:rPr>
          <w:rFonts w:ascii="Arial" w:hAnsi="Arial" w:eastAsiaTheme="minorHAnsi" w:cs="Arial"/>
          <w:snapToGrid/>
          <w:sz w:val="22"/>
          <w:szCs w:val="22"/>
        </w:rPr>
        <w:tab/>
        <w:t>Bidders should be aware of the following bidding details associated with the sale of the Bonds:</w:t>
      </w:r>
    </w:p>
    <w:p w:rsidR="00B67DD8" w:rsidRPr="00B67DD8" w:rsidP="00B67DD8" w14:paraId="7DC6822E" w14:textId="77777777">
      <w:pPr>
        <w:widowControl/>
        <w:jc w:val="both"/>
        <w:rPr>
          <w:rFonts w:ascii="Arial" w:hAnsi="Arial" w:eastAsiaTheme="minorHAnsi" w:cs="Arial"/>
          <w:snapToGrid/>
          <w:sz w:val="22"/>
          <w:szCs w:val="22"/>
        </w:rPr>
      </w:pPr>
    </w:p>
    <w:p w:rsidR="00B67DD8" w:rsidRPr="00B67DD8" w:rsidP="00B67DD8" w14:paraId="437D20A3" w14:textId="5965B10D">
      <w:pPr>
        <w:widowControl/>
        <w:numPr>
          <w:ilvl w:val="0"/>
          <w:numId w:val="1"/>
        </w:numPr>
        <w:tabs>
          <w:tab w:val="clear" w:pos="360"/>
          <w:tab w:val="left" w:pos="720"/>
          <w:tab w:val="left" w:pos="1440"/>
        </w:tabs>
        <w:autoSpaceDE w:val="0"/>
        <w:autoSpaceDN w:val="0"/>
        <w:ind w:left="1440" w:hanging="1440"/>
        <w:jc w:val="both"/>
        <w:rPr>
          <w:rFonts w:ascii="Arial" w:hAnsi="Arial" w:cs="Arial"/>
          <w:b/>
          <w:snapToGrid/>
          <w:sz w:val="22"/>
          <w:szCs w:val="22"/>
          <w:u w:val="single"/>
        </w:rPr>
      </w:pPr>
      <w:r w:rsidRPr="00B67DD8">
        <w:rPr>
          <w:rFonts w:ascii="Arial" w:hAnsi="Arial" w:cs="Arial"/>
          <w:b/>
          <w:snapToGrid/>
          <w:sz w:val="22"/>
          <w:szCs w:val="24"/>
        </w:rPr>
        <w:tab/>
      </w:r>
      <w:r w:rsidRPr="00B67DD8">
        <w:rPr>
          <w:rFonts w:ascii="Arial" w:hAnsi="Arial" w:cs="Arial"/>
          <w:b/>
          <w:snapToGrid/>
          <w:sz w:val="22"/>
          <w:szCs w:val="24"/>
          <w:u w:val="single"/>
        </w:rPr>
        <w:t>THE BONDS ARE BEING SOLD ON THE BASIS OF THE MATURITY SCHEDULE SET FORTH ABOVE.</w:t>
      </w:r>
    </w:p>
    <w:p w:rsidR="00B67DD8" w:rsidRPr="00B67DD8" w:rsidP="00B67DD8" w14:paraId="3259E5DB" w14:textId="77777777">
      <w:pPr>
        <w:widowControl/>
        <w:jc w:val="both"/>
        <w:rPr>
          <w:rFonts w:ascii="Arial" w:hAnsi="Arial" w:eastAsiaTheme="minorHAnsi" w:cs="Arial"/>
          <w:snapToGrid/>
          <w:sz w:val="22"/>
          <w:szCs w:val="22"/>
        </w:rPr>
      </w:pPr>
    </w:p>
    <w:p w:rsidR="00B67DD8" w:rsidRPr="00B67DD8" w:rsidP="00B67DD8" w14:paraId="3DD3D7D4" w14:textId="2D462002">
      <w:pPr>
        <w:widowControl/>
        <w:numPr>
          <w:ilvl w:val="0"/>
          <w:numId w:val="1"/>
        </w:numPr>
        <w:tabs>
          <w:tab w:val="clear" w:pos="360"/>
          <w:tab w:val="left" w:pos="720"/>
          <w:tab w:val="left" w:pos="1440"/>
        </w:tabs>
        <w:autoSpaceDE w:val="0"/>
        <w:autoSpaceDN w:val="0"/>
        <w:spacing w:after="200" w:line="276" w:lineRule="auto"/>
        <w:ind w:left="1440" w:hanging="1440"/>
        <w:jc w:val="both"/>
        <w:rPr>
          <w:rFonts w:ascii="Arial" w:hAnsi="Arial" w:cs="Arial"/>
          <w:b/>
          <w:bCs/>
          <w:snapToGrid/>
          <w:sz w:val="22"/>
          <w:szCs w:val="24"/>
          <w:lang w:val="de-DE"/>
        </w:rPr>
      </w:pPr>
      <w:r>
        <w:rPr>
          <w:rFonts w:ascii="Arial" w:hAnsi="Arial" w:cs="Arial"/>
          <w:b/>
          <w:bCs/>
          <w:snapToGrid/>
          <w:sz w:val="22"/>
          <w:szCs w:val="22"/>
        </w:rPr>
        <w:tab/>
      </w:r>
      <w:r w:rsidRPr="00B67DD8">
        <w:rPr>
          <w:rFonts w:ascii="Arial" w:hAnsi="Arial" w:cs="Arial"/>
          <w:b/>
          <w:bCs/>
          <w:snapToGrid/>
          <w:sz w:val="22"/>
          <w:szCs w:val="22"/>
        </w:rPr>
        <w:t>BIDDERS MUST SUBMIT EITHER A GOOD FAITH CHECK OR</w:t>
      </w:r>
      <w:r>
        <w:rPr>
          <w:rFonts w:ascii="Arial" w:hAnsi="Arial" w:cs="Arial"/>
          <w:b/>
          <w:bCs/>
          <w:snapToGrid/>
          <w:sz w:val="22"/>
          <w:szCs w:val="22"/>
        </w:rPr>
        <w:t xml:space="preserve"> </w:t>
      </w:r>
      <w:r w:rsidRPr="00B67DD8">
        <w:rPr>
          <w:rFonts w:ascii="Arial" w:hAnsi="Arial" w:cs="Arial"/>
          <w:b/>
          <w:bCs/>
          <w:snapToGrid/>
          <w:sz w:val="22"/>
          <w:szCs w:val="22"/>
        </w:rPr>
        <w:t>WIRE TRANSFER IN THE AMOUNT OF $46,840 PAYABLE TO THE BOROUGH PRIOR TO 11:00 A.M. ON THE BID DATE.  CHECKS SHOULD BE SUBMITTED TO THE FOLLOWING ADDRESS:</w:t>
      </w:r>
    </w:p>
    <w:p w:rsidR="00B67DD8" w:rsidRPr="00B67DD8" w:rsidP="00B67DD8" w14:paraId="030BAE9F" w14:textId="77777777">
      <w:pPr>
        <w:widowControl/>
        <w:numPr>
          <w:ilvl w:val="12"/>
          <w:numId w:val="0"/>
        </w:numPr>
        <w:ind w:left="2880"/>
        <w:jc w:val="both"/>
        <w:rPr>
          <w:rFonts w:ascii="Arial" w:hAnsi="Arial" w:eastAsiaTheme="minorHAnsi" w:cs="Arial"/>
          <w:b/>
          <w:bCs/>
          <w:snapToGrid/>
          <w:sz w:val="22"/>
          <w:szCs w:val="22"/>
          <w:lang w:val="de-DE"/>
        </w:rPr>
      </w:pPr>
      <w:r w:rsidRPr="00B67DD8">
        <w:rPr>
          <w:rFonts w:ascii="Arial" w:hAnsi="Arial" w:eastAsiaTheme="minorHAnsi" w:cs="Arial"/>
          <w:b/>
          <w:bCs/>
          <w:snapToGrid/>
          <w:sz w:val="22"/>
          <w:szCs w:val="22"/>
          <w:lang w:val="de-DE"/>
        </w:rPr>
        <w:t>Julia Edmondson, Chief Financial Officer</w:t>
      </w:r>
    </w:p>
    <w:p w:rsidR="00B67DD8" w:rsidRPr="00B67DD8" w:rsidP="00B67DD8" w14:paraId="7236ABA0" w14:textId="77777777">
      <w:pPr>
        <w:widowControl/>
        <w:numPr>
          <w:ilvl w:val="12"/>
          <w:numId w:val="0"/>
        </w:numPr>
        <w:ind w:left="2880"/>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Borough of Riverton</w:t>
      </w:r>
    </w:p>
    <w:p w:rsidR="00B67DD8" w:rsidRPr="00B67DD8" w:rsidP="00B67DD8" w14:paraId="36631D3A" w14:textId="77777777">
      <w:pPr>
        <w:widowControl/>
        <w:numPr>
          <w:ilvl w:val="12"/>
          <w:numId w:val="0"/>
        </w:numPr>
        <w:ind w:left="2880"/>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505A Howard Street</w:t>
      </w:r>
    </w:p>
    <w:p w:rsidR="00B67DD8" w:rsidRPr="00B67DD8" w:rsidP="00B67DD8" w14:paraId="13650D78" w14:textId="77777777">
      <w:pPr>
        <w:widowControl/>
        <w:numPr>
          <w:ilvl w:val="12"/>
          <w:numId w:val="0"/>
        </w:numPr>
        <w:ind w:left="2880"/>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Riverton, New Jersey 08077</w:t>
      </w:r>
    </w:p>
    <w:p w:rsidR="00B67DD8" w:rsidRPr="00B67DD8" w:rsidP="00B67DD8" w14:paraId="26C26E71" w14:textId="77777777">
      <w:pPr>
        <w:widowControl/>
        <w:numPr>
          <w:ilvl w:val="12"/>
          <w:numId w:val="0"/>
        </w:numPr>
        <w:ind w:left="2880"/>
        <w:jc w:val="both"/>
        <w:rPr>
          <w:rFonts w:ascii="Arial" w:hAnsi="Arial" w:eastAsiaTheme="minorHAnsi" w:cs="Arial"/>
          <w:b/>
          <w:bCs/>
          <w:snapToGrid/>
          <w:sz w:val="22"/>
          <w:szCs w:val="22"/>
        </w:rPr>
      </w:pPr>
    </w:p>
    <w:p w:rsidR="00B67DD8" w:rsidRPr="00B67DD8" w:rsidP="00B67DD8" w14:paraId="0C13A139" w14:textId="77777777">
      <w:pPr>
        <w:widowControl/>
        <w:numPr>
          <w:ilvl w:val="12"/>
          <w:numId w:val="0"/>
        </w:numPr>
        <w:tabs>
          <w:tab w:val="left" w:pos="720"/>
          <w:tab w:val="left" w:pos="1440"/>
        </w:tabs>
        <w:ind w:left="1440" w:hanging="1440"/>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ab/>
      </w:r>
      <w:r w:rsidRPr="00B67DD8">
        <w:rPr>
          <w:rFonts w:ascii="Arial" w:hAnsi="Arial" w:eastAsiaTheme="minorHAnsi" w:cs="Arial"/>
          <w:b/>
          <w:bCs/>
          <w:snapToGrid/>
          <w:sz w:val="22"/>
          <w:szCs w:val="22"/>
        </w:rPr>
        <w:tab/>
        <w:t>BIDDERS SUBMITTING GOOD FAITH CHECKS SHOULD ALSO ENCLOSE A RETURN ENVELOPE FOR USE BY THE BOROUGH.  TO OBTAIN WIRE TRANSFER INSTRUCTIONS, PLEASE CONTACT THE BOROUGH’S MUNICIPAL ADVISOR, ALEXIA DICIURCIO AT (856) 234-2266 OR adiciurcio@acaciafin.com.</w:t>
      </w:r>
    </w:p>
    <w:p w:rsidR="00B67DD8" w:rsidRPr="00B67DD8" w:rsidP="00B67DD8" w14:paraId="681CB5B6" w14:textId="77777777">
      <w:pPr>
        <w:widowControl/>
        <w:numPr>
          <w:ilvl w:val="12"/>
          <w:numId w:val="0"/>
        </w:numPr>
        <w:jc w:val="both"/>
        <w:rPr>
          <w:rFonts w:ascii="Arial" w:hAnsi="Arial" w:eastAsiaTheme="minorHAnsi" w:cs="Arial"/>
          <w:snapToGrid/>
          <w:sz w:val="22"/>
          <w:szCs w:val="22"/>
        </w:rPr>
      </w:pPr>
    </w:p>
    <w:p w:rsidR="00B67DD8" w:rsidRPr="00B67DD8" w:rsidP="00B67DD8" w14:paraId="3073F530" w14:textId="7646AFDC">
      <w:pPr>
        <w:widowControl/>
        <w:numPr>
          <w:ilvl w:val="0"/>
          <w:numId w:val="1"/>
        </w:numPr>
        <w:tabs>
          <w:tab w:val="clear" w:pos="360"/>
          <w:tab w:val="left" w:pos="720"/>
          <w:tab w:val="left" w:pos="1440"/>
        </w:tabs>
        <w:autoSpaceDE w:val="0"/>
        <w:autoSpaceDN w:val="0"/>
        <w:ind w:left="1440" w:hanging="1440"/>
        <w:jc w:val="both"/>
        <w:rPr>
          <w:rFonts w:ascii="Arial" w:hAnsi="Arial" w:cs="Arial"/>
          <w:snapToGrid/>
          <w:sz w:val="22"/>
          <w:szCs w:val="22"/>
        </w:rPr>
      </w:pPr>
      <w:r>
        <w:rPr>
          <w:rFonts w:ascii="Arial" w:hAnsi="Arial" w:cs="Arial"/>
          <w:snapToGrid/>
          <w:sz w:val="22"/>
          <w:szCs w:val="22"/>
        </w:rPr>
        <w:tab/>
      </w:r>
      <w:r w:rsidRPr="00B67DD8">
        <w:rPr>
          <w:rFonts w:ascii="Arial" w:hAnsi="Arial" w:cs="Arial"/>
          <w:snapToGrid/>
          <w:sz w:val="22"/>
          <w:szCs w:val="22"/>
        </w:rPr>
        <w:t xml:space="preserve">All Bids must be submitted via the PARITY website at </w:t>
      </w:r>
      <w:r w:rsidRPr="00B67DD8">
        <w:rPr>
          <w:rFonts w:ascii="Arial" w:hAnsi="Arial" w:cs="Arial"/>
          <w:bCs/>
          <w:snapToGrid/>
          <w:color w:val="0000FF" w:themeColor="hyperlink"/>
          <w:sz w:val="22"/>
          <w:szCs w:val="22"/>
          <w:u w:val="single"/>
        </w:rPr>
        <w:t>https://newissue.muni.spglobal.com</w:t>
      </w:r>
      <w:r w:rsidRPr="00B67DD8">
        <w:rPr>
          <w:rFonts w:ascii="Arial" w:hAnsi="Arial" w:cs="Arial"/>
          <w:snapToGrid/>
          <w:sz w:val="22"/>
          <w:szCs w:val="22"/>
        </w:rPr>
        <w:t xml:space="preserve">.  </w:t>
      </w:r>
      <w:r w:rsidRPr="00B67DD8">
        <w:rPr>
          <w:rFonts w:ascii="Arial" w:hAnsi="Arial" w:cs="Arial"/>
          <w:b/>
          <w:bCs/>
          <w:snapToGrid/>
          <w:sz w:val="22"/>
          <w:szCs w:val="22"/>
        </w:rPr>
        <w:t>No telephone, telefax, telegraph or personal delivery Bids will be accepted.</w:t>
      </w:r>
    </w:p>
    <w:p w:rsidR="00B67DD8" w:rsidRPr="00B67DD8" w:rsidP="00B67DD8" w14:paraId="6B9205C1" w14:textId="77777777">
      <w:pPr>
        <w:widowControl/>
        <w:numPr>
          <w:ilvl w:val="12"/>
          <w:numId w:val="0"/>
        </w:numPr>
        <w:jc w:val="both"/>
        <w:rPr>
          <w:rFonts w:ascii="Arial" w:hAnsi="Arial" w:eastAsiaTheme="minorHAnsi" w:cs="Arial"/>
          <w:snapToGrid/>
          <w:sz w:val="22"/>
          <w:szCs w:val="22"/>
        </w:rPr>
      </w:pPr>
    </w:p>
    <w:p w:rsidR="00B67DD8" w:rsidRPr="00B67DD8" w:rsidP="00B67DD8" w14:paraId="5BF3BCB7" w14:textId="10D58189">
      <w:pPr>
        <w:widowControl/>
        <w:numPr>
          <w:ilvl w:val="0"/>
          <w:numId w:val="1"/>
        </w:numPr>
        <w:tabs>
          <w:tab w:val="clear" w:pos="360"/>
          <w:tab w:val="left" w:pos="720"/>
          <w:tab w:val="left" w:pos="1440"/>
        </w:tabs>
        <w:autoSpaceDE w:val="0"/>
        <w:autoSpaceDN w:val="0"/>
        <w:ind w:left="1440" w:hanging="1440"/>
        <w:jc w:val="both"/>
        <w:rPr>
          <w:rFonts w:ascii="Arial" w:hAnsi="Arial" w:cs="Arial"/>
          <w:snapToGrid/>
          <w:sz w:val="22"/>
          <w:szCs w:val="22"/>
        </w:rPr>
      </w:pPr>
      <w:r>
        <w:rPr>
          <w:rFonts w:ascii="Arial" w:hAnsi="Arial" w:cs="Arial"/>
          <w:snapToGrid/>
          <w:sz w:val="22"/>
          <w:szCs w:val="22"/>
        </w:rPr>
        <w:tab/>
      </w:r>
      <w:r w:rsidRPr="00B67DD8">
        <w:rPr>
          <w:rFonts w:ascii="Arial" w:hAnsi="Arial" w:cs="Arial"/>
          <w:snapToGrid/>
          <w:sz w:val="22"/>
          <w:szCs w:val="22"/>
        </w:rPr>
        <w:t>All Bids for the Bonds must be submitted on an AON basis.</w:t>
      </w:r>
    </w:p>
    <w:p w:rsidR="00B67DD8" w:rsidRPr="00B67DD8" w:rsidP="00B67DD8" w14:paraId="309B9F35" w14:textId="77777777">
      <w:pPr>
        <w:widowControl/>
        <w:numPr>
          <w:ilvl w:val="12"/>
          <w:numId w:val="0"/>
        </w:numPr>
        <w:jc w:val="both"/>
        <w:rPr>
          <w:rFonts w:ascii="Arial" w:hAnsi="Arial" w:eastAsiaTheme="minorHAnsi" w:cs="Arial"/>
          <w:snapToGrid/>
          <w:sz w:val="22"/>
          <w:szCs w:val="22"/>
        </w:rPr>
      </w:pPr>
    </w:p>
    <w:p w:rsidR="00B67DD8" w:rsidRPr="00B67DD8" w:rsidP="00B67DD8" w14:paraId="5D378F37" w14:textId="69D72CEC">
      <w:pPr>
        <w:widowControl/>
        <w:numPr>
          <w:ilvl w:val="0"/>
          <w:numId w:val="1"/>
        </w:numPr>
        <w:tabs>
          <w:tab w:val="clear" w:pos="360"/>
          <w:tab w:val="left" w:pos="720"/>
          <w:tab w:val="left" w:pos="1440"/>
        </w:tabs>
        <w:autoSpaceDE w:val="0"/>
        <w:autoSpaceDN w:val="0"/>
        <w:ind w:left="1440" w:hanging="1440"/>
        <w:jc w:val="both"/>
        <w:rPr>
          <w:rFonts w:ascii="Arial" w:hAnsi="Arial" w:cs="Arial"/>
          <w:snapToGrid/>
          <w:sz w:val="22"/>
          <w:szCs w:val="22"/>
        </w:rPr>
      </w:pPr>
      <w:r>
        <w:rPr>
          <w:rFonts w:ascii="Arial" w:hAnsi="Arial" w:cs="Arial"/>
          <w:snapToGrid/>
          <w:sz w:val="22"/>
          <w:szCs w:val="22"/>
        </w:rPr>
        <w:tab/>
      </w:r>
      <w:r w:rsidRPr="00B67DD8">
        <w:rPr>
          <w:rFonts w:ascii="Arial" w:hAnsi="Arial" w:cs="Arial"/>
          <w:snapToGrid/>
          <w:sz w:val="22"/>
          <w:szCs w:val="22"/>
        </w:rPr>
        <w:t xml:space="preserve">Bidders may bid to purchase Bonds from the Borough at a price which is no less than the par amount and no greater than 105% of the par amount.  </w:t>
      </w:r>
      <w:r w:rsidRPr="00B67DD8">
        <w:rPr>
          <w:rFonts w:ascii="Arial" w:hAnsi="Arial" w:cs="Arial"/>
          <w:snapToGrid/>
          <w:sz w:val="22"/>
          <w:szCs w:val="24"/>
        </w:rPr>
        <w:t>No Bid shall be considered that offers to pay an amount less than the total principal amount of Bonds offered for sale or under which the total loan is made at an interest cost higher than the lowest True Interest Cost to the Borough under any legally acceptable Bid.</w:t>
      </w:r>
    </w:p>
    <w:p w:rsidR="00B67DD8" w:rsidRPr="00B67DD8" w:rsidP="00B67DD8" w14:paraId="377E1E74" w14:textId="77777777">
      <w:pPr>
        <w:widowControl/>
        <w:numPr>
          <w:ilvl w:val="12"/>
          <w:numId w:val="0"/>
        </w:numPr>
        <w:jc w:val="both"/>
        <w:rPr>
          <w:rFonts w:ascii="Arial" w:hAnsi="Arial" w:eastAsiaTheme="minorHAnsi" w:cs="Arial"/>
          <w:snapToGrid/>
          <w:sz w:val="22"/>
          <w:szCs w:val="22"/>
        </w:rPr>
      </w:pPr>
    </w:p>
    <w:p w:rsidR="00B67DD8" w:rsidRPr="00B67DD8" w:rsidP="00B67DD8" w14:paraId="7C630A13" w14:textId="7EE356DC">
      <w:pPr>
        <w:widowControl/>
        <w:numPr>
          <w:ilvl w:val="0"/>
          <w:numId w:val="1"/>
        </w:numPr>
        <w:tabs>
          <w:tab w:val="clear" w:pos="360"/>
          <w:tab w:val="left" w:pos="720"/>
          <w:tab w:val="left" w:pos="1440"/>
        </w:tabs>
        <w:autoSpaceDE w:val="0"/>
        <w:autoSpaceDN w:val="0"/>
        <w:ind w:left="1440" w:hanging="1440"/>
        <w:jc w:val="both"/>
        <w:rPr>
          <w:rFonts w:ascii="Arial" w:hAnsi="Arial" w:cs="Arial"/>
          <w:snapToGrid/>
          <w:sz w:val="22"/>
          <w:szCs w:val="22"/>
        </w:rPr>
      </w:pPr>
      <w:r>
        <w:rPr>
          <w:rFonts w:ascii="Arial" w:hAnsi="Arial" w:cs="Arial"/>
          <w:snapToGrid/>
          <w:sz w:val="22"/>
          <w:szCs w:val="22"/>
        </w:rPr>
        <w:tab/>
      </w:r>
      <w:r w:rsidRPr="00B67DD8">
        <w:rPr>
          <w:rFonts w:ascii="Arial" w:hAnsi="Arial" w:cs="Arial"/>
          <w:snapToGrid/>
          <w:sz w:val="22"/>
          <w:szCs w:val="22"/>
        </w:rPr>
        <w:t xml:space="preserve">Bidders must specify a rate of interest for each maturity of the Bonds, which rate of interest must be expressed in multiples of one-eighth (1/8) or one-twentieth (1/20) of one percent (1%).  The difference between the highest and lowest rates of interest named in the Bid shall not exceed three percent (3%) </w:t>
      </w:r>
      <w:r w:rsidRPr="00B67DD8">
        <w:rPr>
          <w:rFonts w:ascii="Arial" w:hAnsi="Arial" w:cs="Arial"/>
          <w:snapToGrid/>
          <w:sz w:val="22"/>
          <w:szCs w:val="24"/>
        </w:rPr>
        <w:t>and not more than one rate of interest may be named for the Bonds of the same maturity.  There is no limitation on the number of rates of interest that may be named.</w:t>
      </w:r>
    </w:p>
    <w:p w:rsidR="00B67DD8" w:rsidRPr="00B67DD8" w:rsidP="00B67DD8" w14:paraId="7E86751B"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snapToGrid/>
          <w:sz w:val="22"/>
          <w:szCs w:val="22"/>
        </w:rPr>
        <w:tab/>
      </w:r>
    </w:p>
    <w:p w:rsidR="00B67DD8" w:rsidRPr="00B67DD8" w:rsidP="00B67DD8" w14:paraId="074796E8" w14:textId="72884329">
      <w:pPr>
        <w:widowControl/>
        <w:numPr>
          <w:ilvl w:val="0"/>
          <w:numId w:val="1"/>
        </w:numPr>
        <w:tabs>
          <w:tab w:val="clear" w:pos="360"/>
          <w:tab w:val="left" w:pos="720"/>
          <w:tab w:val="left" w:pos="1440"/>
        </w:tabs>
        <w:autoSpaceDE w:val="0"/>
        <w:autoSpaceDN w:val="0"/>
        <w:ind w:left="1440" w:hanging="1440"/>
        <w:jc w:val="both"/>
        <w:rPr>
          <w:rFonts w:ascii="Arial" w:hAnsi="Arial" w:cs="Arial"/>
          <w:snapToGrid/>
          <w:sz w:val="22"/>
          <w:szCs w:val="22"/>
        </w:rPr>
      </w:pPr>
      <w:r>
        <w:rPr>
          <w:rFonts w:ascii="Arial" w:hAnsi="Arial" w:cs="Arial"/>
          <w:snapToGrid/>
          <w:sz w:val="22"/>
          <w:szCs w:val="22"/>
        </w:rPr>
        <w:tab/>
      </w:r>
      <w:r w:rsidRPr="00B67DD8">
        <w:rPr>
          <w:rFonts w:ascii="Arial" w:hAnsi="Arial" w:cs="Arial"/>
          <w:snapToGrid/>
          <w:sz w:val="22"/>
          <w:szCs w:val="22"/>
        </w:rPr>
        <w:t>Bidders are only permitted to submit Bids for the Bonds during the bidding period.</w:t>
      </w:r>
    </w:p>
    <w:p w:rsidR="00B67DD8" w:rsidRPr="00B67DD8" w:rsidP="00B67DD8" w14:paraId="6074ECC4" w14:textId="77777777">
      <w:pPr>
        <w:widowControl/>
        <w:numPr>
          <w:ilvl w:val="12"/>
          <w:numId w:val="0"/>
        </w:numPr>
        <w:jc w:val="both"/>
        <w:rPr>
          <w:rFonts w:ascii="Arial" w:hAnsi="Arial" w:eastAsiaTheme="minorHAnsi" w:cs="Arial"/>
          <w:snapToGrid/>
          <w:sz w:val="22"/>
          <w:szCs w:val="22"/>
        </w:rPr>
      </w:pPr>
    </w:p>
    <w:p w:rsidR="00B67DD8" w:rsidRPr="00B67DD8" w:rsidP="00B67DD8" w14:paraId="00ABF4AC" w14:textId="708564DE">
      <w:pPr>
        <w:widowControl/>
        <w:numPr>
          <w:ilvl w:val="0"/>
          <w:numId w:val="1"/>
        </w:numPr>
        <w:tabs>
          <w:tab w:val="clear" w:pos="360"/>
          <w:tab w:val="left" w:pos="720"/>
          <w:tab w:val="left" w:pos="1440"/>
        </w:tabs>
        <w:autoSpaceDE w:val="0"/>
        <w:autoSpaceDN w:val="0"/>
        <w:ind w:left="1440" w:hanging="1440"/>
        <w:jc w:val="both"/>
        <w:rPr>
          <w:rFonts w:ascii="Arial" w:hAnsi="Arial" w:cs="Arial"/>
          <w:snapToGrid/>
          <w:sz w:val="22"/>
          <w:szCs w:val="24"/>
        </w:rPr>
      </w:pPr>
      <w:r>
        <w:rPr>
          <w:rFonts w:ascii="Arial" w:hAnsi="Arial" w:cs="Arial"/>
          <w:snapToGrid/>
          <w:sz w:val="22"/>
          <w:szCs w:val="22"/>
        </w:rPr>
        <w:tab/>
      </w:r>
      <w:r w:rsidRPr="00B67DD8">
        <w:rPr>
          <w:rFonts w:ascii="Arial" w:hAnsi="Arial" w:cs="Arial"/>
          <w:snapToGrid/>
          <w:sz w:val="22"/>
          <w:szCs w:val="22"/>
        </w:rPr>
        <w:t xml:space="preserve">The Winning Bidder shall be obligated to furnish to the Borough within forty-eight (48) hours prior to the date of delivery of the Bonds a certificate satisfactory to Bond Counsel to the Borough, the form of which is attached hereto as </w:t>
      </w:r>
      <w:r w:rsidRPr="00B67DD8">
        <w:rPr>
          <w:rFonts w:ascii="Arial" w:hAnsi="Arial" w:cs="Arial"/>
          <w:snapToGrid/>
          <w:sz w:val="22"/>
          <w:szCs w:val="22"/>
          <w:u w:val="single"/>
        </w:rPr>
        <w:t>Exhibit A</w:t>
      </w:r>
      <w:r w:rsidRPr="00B67DD8">
        <w:rPr>
          <w:rFonts w:ascii="Arial" w:hAnsi="Arial" w:cs="Arial"/>
          <w:snapToGrid/>
          <w:sz w:val="22"/>
          <w:szCs w:val="22"/>
        </w:rPr>
        <w:t>, to the effect that: (i) each maturity of the Bonds has been the subject of a bona fide initial offering to the public (excluding bond houses, brokers or similar persons or organizations acting in the capacity of underwriters or wholesalers) at the initial public offering price set forth in such certificate; (ii) ten percent (10%) or more in par amount of the Bonds of each maturity were sold to the public (excluding bond houses, brokers or similar persons or organizations acting in the capacity of underwriters or wholesalers) at the initial public offering price for such maturity set forth in such certificate; (iii) at the time the Winning Bidder submitted its bid to the Borough, based upon then prevailing market conditions, the Winning Bidder had no reason to believe that any maturity of the Bonds would be sold to the public (excluding bond houses, brokers or similar persons or organizations acting in the capacity of underwriters or wholesalers) at a price greater than the initial public offering price for that maturity, or that the fair market of any maturity of the Bonds would be in excess of the initial public offering price for that maturity (in the event the Borough receives fewer than three (3) bids for the Bonds, then the issue price of the Bonds shall be established based on the first price at which at least 10% of each maturity of the Bonds was sold to the Public (as defined below)); or (iv) there was no offer nor sell any Maturity of the Bonds to any person at a price higher than the initial offering prices for a specified period of time after the Sale Date (the “hold-the-offering-price rule”), in each case applied on a Maturity-by-Maturity basis (and if different interest rates apply within a Maturity, to each separate CUSIP number within that Maturity).  The Winning Bidder shall be required to deliver on the Delivery Date a certificate to such effect, and provide to the Borough, in writing, evidence satisfactory to Bond Counsel to the Borough of such sales prices for each maturity of the Bonds.  In the event that the Winning Bidder has not sold at least 10% of each maturity of the Bonds to the Public as of the Sale Date (each, an “Unsold Maturity”), the Winning Bidder shall be subject to the hold-the-offering-price rule.  “Public” means any person (including an individual, trust, estate, partnership, association, company, or corporation) other than an Underwriter (as defined herein) or a related party to the Underwriter.  The term “related party” generally means any two or more persons who have greater than fifty percent (50%) common ownership, directly or indirectly.  “Underwriter” means (i) any person that agrees pursuant to a written contract with the Issuer (or with the lead underwriter to form an underwriting syndicate) to participate in the initial sale of the Bonds to the Public, and (ii) any person that agrees pursuant to a written contract directly or indirectly with a person described in clause (i) of this paragraph to participate in the initial sale of the Bonds to the Public (including a member of a selling group or a party to a retail distribution agreement participating in the initial sale of the Bonds to the Public).  Such certificate shall state that it is made to the best knowledge, information and belief of the Winning Bidder.</w:t>
      </w:r>
    </w:p>
    <w:p w:rsidR="00B67DD8" w:rsidRPr="00B67DD8" w:rsidP="00B67DD8" w14:paraId="5FD61950" w14:textId="77777777">
      <w:pPr>
        <w:widowControl/>
        <w:tabs>
          <w:tab w:val="left" w:pos="720"/>
          <w:tab w:val="left" w:pos="1440"/>
        </w:tabs>
        <w:autoSpaceDE w:val="0"/>
        <w:autoSpaceDN w:val="0"/>
        <w:ind w:left="720"/>
        <w:jc w:val="both"/>
        <w:rPr>
          <w:rFonts w:ascii="Arial" w:hAnsi="Arial" w:cs="Arial"/>
          <w:snapToGrid/>
          <w:sz w:val="22"/>
          <w:szCs w:val="24"/>
        </w:rPr>
      </w:pPr>
    </w:p>
    <w:p w:rsidR="00B67DD8" w:rsidRPr="00B67DD8" w:rsidP="00B67DD8" w14:paraId="3396000F" w14:textId="487B84EB">
      <w:pPr>
        <w:widowControl/>
        <w:numPr>
          <w:ilvl w:val="0"/>
          <w:numId w:val="1"/>
        </w:numPr>
        <w:tabs>
          <w:tab w:val="clear" w:pos="360"/>
          <w:tab w:val="left" w:pos="720"/>
          <w:tab w:val="left" w:pos="1440"/>
        </w:tabs>
        <w:autoSpaceDE w:val="0"/>
        <w:autoSpaceDN w:val="0"/>
        <w:ind w:left="1440" w:hanging="1440"/>
        <w:jc w:val="both"/>
        <w:rPr>
          <w:rFonts w:ascii="Arial" w:hAnsi="Arial" w:cs="Arial"/>
          <w:snapToGrid/>
          <w:sz w:val="22"/>
          <w:szCs w:val="24"/>
        </w:rPr>
      </w:pPr>
      <w:r>
        <w:rPr>
          <w:rFonts w:ascii="Arial" w:hAnsi="Arial" w:cs="Arial"/>
          <w:snapToGrid/>
          <w:sz w:val="22"/>
          <w:szCs w:val="24"/>
        </w:rPr>
        <w:tab/>
      </w:r>
      <w:r w:rsidRPr="00B67DD8">
        <w:rPr>
          <w:rFonts w:ascii="Arial" w:hAnsi="Arial" w:cs="Arial"/>
          <w:snapToGrid/>
          <w:sz w:val="22"/>
          <w:szCs w:val="24"/>
        </w:rPr>
        <w:t>Additionally, the Winning Bidder shall be obligated to furnish to the Borough within forty-eight (48) hours of the Bid Date the public offering prices and reoffering yields for each maturity of the Bonds.</w:t>
      </w:r>
    </w:p>
    <w:p w:rsidR="00B67DD8" w:rsidRPr="00B67DD8" w:rsidP="00B67DD8" w14:paraId="1C8D1745" w14:textId="77777777">
      <w:pPr>
        <w:widowControl/>
        <w:numPr>
          <w:ilvl w:val="12"/>
          <w:numId w:val="0"/>
        </w:numPr>
        <w:jc w:val="both"/>
        <w:rPr>
          <w:rFonts w:ascii="Arial" w:hAnsi="Arial" w:eastAsiaTheme="minorHAnsi" w:cs="Arial"/>
          <w:b/>
          <w:bCs/>
          <w:snapToGrid/>
          <w:sz w:val="22"/>
          <w:szCs w:val="22"/>
        </w:rPr>
      </w:pPr>
    </w:p>
    <w:p w:rsidR="00B67DD8" w:rsidRPr="00B67DD8" w:rsidP="00B67DD8" w14:paraId="6BC2610B"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b/>
          <w:bCs/>
          <w:snapToGrid/>
          <w:sz w:val="22"/>
          <w:szCs w:val="22"/>
        </w:rPr>
        <w:t>Definitions</w:t>
      </w:r>
    </w:p>
    <w:p w:rsidR="00B67DD8" w:rsidRPr="00B67DD8" w:rsidP="00B67DD8" w14:paraId="1B11DEEE" w14:textId="77777777">
      <w:pPr>
        <w:widowControl/>
        <w:numPr>
          <w:ilvl w:val="12"/>
          <w:numId w:val="0"/>
        </w:numPr>
        <w:jc w:val="both"/>
        <w:rPr>
          <w:rFonts w:ascii="Arial" w:hAnsi="Arial" w:eastAsiaTheme="minorHAnsi" w:cs="Arial"/>
          <w:snapToGrid/>
          <w:sz w:val="22"/>
          <w:szCs w:val="22"/>
        </w:rPr>
      </w:pPr>
    </w:p>
    <w:p w:rsidR="00B67DD8" w:rsidRPr="00B67DD8" w:rsidP="00B67DD8" w14:paraId="17A214B9" w14:textId="77777777">
      <w:pPr>
        <w:widowControl/>
        <w:numPr>
          <w:ilvl w:val="12"/>
          <w:numId w:val="0"/>
        </w:numPr>
        <w:tabs>
          <w:tab w:val="left" w:pos="720"/>
          <w:tab w:val="left" w:pos="1440"/>
          <w:tab w:val="left" w:pos="2160"/>
        </w:tabs>
        <w:ind w:left="2160" w:hanging="2160"/>
        <w:jc w:val="both"/>
        <w:rPr>
          <w:rFonts w:ascii="Arial" w:hAnsi="Arial" w:eastAsiaTheme="minorHAnsi" w:cs="Arial"/>
          <w:snapToGrid/>
          <w:sz w:val="22"/>
          <w:szCs w:val="22"/>
        </w:rPr>
      </w:pPr>
      <w:r w:rsidRPr="00B67DD8">
        <w:rPr>
          <w:rFonts w:ascii="Arial" w:hAnsi="Arial" w:eastAsiaTheme="minorHAnsi" w:cs="Arial"/>
          <w:snapToGrid/>
          <w:sz w:val="22"/>
          <w:szCs w:val="22"/>
        </w:rPr>
        <w:t>“Bid”</w:t>
      </w: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t>any confirmed purchase offer received by PARITY on or before the end of the bidding time period.</w:t>
      </w:r>
    </w:p>
    <w:p w:rsidR="00B67DD8" w:rsidRPr="00B67DD8" w:rsidP="00B67DD8" w14:paraId="4001C2E4" w14:textId="77777777">
      <w:pPr>
        <w:widowControl/>
        <w:numPr>
          <w:ilvl w:val="12"/>
          <w:numId w:val="0"/>
        </w:numPr>
        <w:jc w:val="both"/>
        <w:rPr>
          <w:rFonts w:ascii="Arial" w:hAnsi="Arial" w:eastAsiaTheme="minorHAnsi" w:cs="Arial"/>
          <w:snapToGrid/>
          <w:sz w:val="22"/>
          <w:szCs w:val="22"/>
        </w:rPr>
      </w:pPr>
    </w:p>
    <w:p w:rsidR="00B67DD8" w:rsidRPr="00B67DD8" w:rsidP="00B67DD8" w14:paraId="1E9E7BD2" w14:textId="77777777">
      <w:pPr>
        <w:widowControl/>
        <w:numPr>
          <w:ilvl w:val="12"/>
          <w:numId w:val="0"/>
        </w:numPr>
        <w:tabs>
          <w:tab w:val="left" w:pos="720"/>
          <w:tab w:val="left" w:pos="1440"/>
          <w:tab w:val="left" w:pos="2160"/>
        </w:tabs>
        <w:ind w:left="2160" w:hanging="2160"/>
        <w:jc w:val="both"/>
        <w:rPr>
          <w:rFonts w:ascii="Arial" w:hAnsi="Arial" w:eastAsiaTheme="minorHAnsi" w:cs="Arial"/>
          <w:snapToGrid/>
          <w:sz w:val="22"/>
          <w:szCs w:val="22"/>
        </w:rPr>
      </w:pPr>
      <w:r w:rsidRPr="00B67DD8">
        <w:rPr>
          <w:rFonts w:ascii="Arial" w:hAnsi="Arial" w:eastAsiaTheme="minorHAnsi" w:cs="Arial"/>
          <w:snapToGrid/>
          <w:sz w:val="22"/>
          <w:szCs w:val="22"/>
        </w:rPr>
        <w:t>“Bidder”</w:t>
      </w: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t>any firm registered and approved for participation in the sale.</w:t>
      </w:r>
    </w:p>
    <w:p w:rsidR="00B67DD8" w:rsidRPr="00B67DD8" w:rsidP="00B67DD8" w14:paraId="4100FCB5" w14:textId="77777777">
      <w:pPr>
        <w:widowControl/>
        <w:numPr>
          <w:ilvl w:val="12"/>
          <w:numId w:val="0"/>
        </w:numPr>
        <w:tabs>
          <w:tab w:val="left" w:pos="720"/>
          <w:tab w:val="left" w:pos="1440"/>
          <w:tab w:val="left" w:pos="2160"/>
        </w:tabs>
        <w:ind w:left="2160" w:hanging="2160"/>
        <w:jc w:val="both"/>
        <w:rPr>
          <w:rFonts w:ascii="Arial" w:hAnsi="Arial" w:eastAsiaTheme="minorHAnsi" w:cs="Arial"/>
          <w:snapToGrid/>
          <w:sz w:val="22"/>
          <w:szCs w:val="22"/>
        </w:rPr>
      </w:pPr>
    </w:p>
    <w:p w:rsidR="00B67DD8" w:rsidRPr="00B67DD8" w:rsidP="00B67DD8" w14:paraId="5DEB884A" w14:textId="77777777">
      <w:pPr>
        <w:widowControl/>
        <w:numPr>
          <w:ilvl w:val="12"/>
          <w:numId w:val="0"/>
        </w:numPr>
        <w:tabs>
          <w:tab w:val="left" w:pos="720"/>
          <w:tab w:val="left" w:pos="1440"/>
          <w:tab w:val="left" w:pos="2160"/>
        </w:tabs>
        <w:ind w:left="2160" w:hanging="2160"/>
        <w:jc w:val="both"/>
        <w:rPr>
          <w:rFonts w:ascii="Arial" w:hAnsi="Arial" w:eastAsiaTheme="minorHAnsi" w:cs="Arial"/>
          <w:snapToGrid/>
          <w:sz w:val="22"/>
          <w:szCs w:val="22"/>
        </w:rPr>
      </w:pPr>
      <w:r w:rsidRPr="00B67DD8">
        <w:rPr>
          <w:rFonts w:ascii="Arial" w:hAnsi="Arial" w:eastAsiaTheme="minorHAnsi" w:cs="Arial"/>
          <w:snapToGrid/>
          <w:sz w:val="22"/>
          <w:szCs w:val="22"/>
        </w:rPr>
        <w:t>“True Interest Cost”</w:t>
      </w:r>
      <w:r w:rsidRPr="00B67DD8">
        <w:rPr>
          <w:rFonts w:ascii="Arial" w:hAnsi="Arial" w:eastAsiaTheme="minorHAnsi" w:cs="Arial"/>
          <w:snapToGrid/>
          <w:sz w:val="22"/>
          <w:szCs w:val="22"/>
        </w:rPr>
        <w:tab/>
        <w:t>computed by determining the interest rate, compounded semiannually, necessary to discount the debt service payments to the date of the bonds and to the price bid, excluding accrued interest to the delivery date.  The True Interest Cost serves as the basis for awarding bonds to Winning Bidders.</w:t>
      </w:r>
    </w:p>
    <w:p w:rsidR="00B67DD8" w:rsidRPr="00B67DD8" w:rsidP="00B67DD8" w14:paraId="2FD8653C" w14:textId="77777777">
      <w:pPr>
        <w:widowControl/>
        <w:numPr>
          <w:ilvl w:val="12"/>
          <w:numId w:val="0"/>
        </w:numPr>
        <w:tabs>
          <w:tab w:val="left" w:pos="720"/>
          <w:tab w:val="left" w:pos="1440"/>
          <w:tab w:val="left" w:pos="2160"/>
        </w:tabs>
        <w:ind w:left="2160" w:hanging="2160"/>
        <w:jc w:val="both"/>
        <w:rPr>
          <w:rFonts w:ascii="Arial" w:hAnsi="Arial" w:eastAsiaTheme="minorHAnsi" w:cs="Arial"/>
          <w:b/>
          <w:bCs/>
          <w:snapToGrid/>
          <w:sz w:val="22"/>
          <w:szCs w:val="22"/>
        </w:rPr>
      </w:pPr>
      <w:r w:rsidRPr="00B67DD8">
        <w:rPr>
          <w:rFonts w:ascii="Arial" w:hAnsi="Arial" w:eastAsiaTheme="minorHAnsi" w:cs="Arial"/>
          <w:snapToGrid/>
          <w:sz w:val="22"/>
          <w:szCs w:val="22"/>
        </w:rPr>
        <w:t>“Winning Bid”</w:t>
      </w: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t>any purchase offer made by a Bidder and received by PARITY which, at the end of the bidding time period, results in the lowest True Interest Cost which is legally acceptable to the Borough.</w:t>
      </w:r>
    </w:p>
    <w:p w:rsidR="00B67DD8" w:rsidRPr="00B67DD8" w:rsidP="00B67DD8" w14:paraId="1BB08D49" w14:textId="77777777">
      <w:pPr>
        <w:widowControl/>
        <w:numPr>
          <w:ilvl w:val="12"/>
          <w:numId w:val="0"/>
        </w:numPr>
        <w:jc w:val="both"/>
        <w:rPr>
          <w:rFonts w:ascii="Arial" w:hAnsi="Arial" w:eastAsiaTheme="minorHAnsi" w:cs="Arial"/>
          <w:b/>
          <w:bCs/>
          <w:snapToGrid/>
          <w:sz w:val="22"/>
          <w:szCs w:val="22"/>
        </w:rPr>
      </w:pPr>
    </w:p>
    <w:p w:rsidR="00B67DD8" w:rsidRPr="00B67DD8" w:rsidP="00B67DD8" w14:paraId="5F28DEDE"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b/>
          <w:bCs/>
          <w:snapToGrid/>
          <w:sz w:val="22"/>
          <w:szCs w:val="22"/>
        </w:rPr>
        <w:t>Bid Procedure and Basis of Award</w:t>
      </w:r>
    </w:p>
    <w:p w:rsidR="00B67DD8" w:rsidRPr="00B67DD8" w:rsidP="00B67DD8" w14:paraId="3DFAD113" w14:textId="77777777">
      <w:pPr>
        <w:widowControl/>
        <w:numPr>
          <w:ilvl w:val="12"/>
          <w:numId w:val="0"/>
        </w:numPr>
        <w:jc w:val="both"/>
        <w:rPr>
          <w:rFonts w:ascii="Arial" w:hAnsi="Arial" w:eastAsiaTheme="minorHAnsi" w:cs="Arial"/>
          <w:snapToGrid/>
          <w:sz w:val="22"/>
          <w:szCs w:val="22"/>
        </w:rPr>
      </w:pPr>
    </w:p>
    <w:p w:rsidR="00B67DD8" w:rsidRPr="00B67DD8" w:rsidP="00B67DD8" w14:paraId="5A33AB5B"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snapToGrid/>
          <w:sz w:val="22"/>
          <w:szCs w:val="22"/>
        </w:rPr>
        <w:tab/>
        <w:t>Subject to the right reserved by the Borough to reject any or all Bids, the Bonds will be sold to the Bidder whose Bid produces the lowest True Interest Cost for the Borough and otherwise complies with this Notice of Sale.</w:t>
      </w:r>
    </w:p>
    <w:p w:rsidR="00B67DD8" w:rsidRPr="00B67DD8" w:rsidP="00B67DD8" w14:paraId="0B4199A7" w14:textId="77777777">
      <w:pPr>
        <w:widowControl/>
        <w:numPr>
          <w:ilvl w:val="12"/>
          <w:numId w:val="0"/>
        </w:numPr>
        <w:jc w:val="both"/>
        <w:rPr>
          <w:rFonts w:ascii="Arial" w:hAnsi="Arial" w:eastAsiaTheme="minorHAnsi" w:cs="Arial"/>
          <w:snapToGrid/>
          <w:sz w:val="22"/>
          <w:szCs w:val="22"/>
        </w:rPr>
      </w:pPr>
    </w:p>
    <w:p w:rsidR="00B67DD8" w:rsidRPr="00B67DD8" w:rsidP="00B67DD8" w14:paraId="6EB05C1B"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snapToGrid/>
          <w:sz w:val="22"/>
          <w:szCs w:val="22"/>
        </w:rPr>
        <w:tab/>
        <w:t>Bids must remain valid until at least 2:00 p.m., prevailing New Jersey time, on the Bid Date, and if accepted by the Borough, prior to such time, shall be irrevocable except as otherwise provided in this Notice of Sale.  Upon selection of the Winning Bidder, the Borough will execute an award certificate to award the Bonds and will promptly communicate with the Winning Bidder by telephone, electronic mail or facsimile.</w:t>
      </w:r>
    </w:p>
    <w:p w:rsidR="00B67DD8" w:rsidRPr="00B67DD8" w:rsidP="00B67DD8" w14:paraId="7ECA59BD" w14:textId="77777777">
      <w:pPr>
        <w:widowControl/>
        <w:numPr>
          <w:ilvl w:val="12"/>
          <w:numId w:val="0"/>
        </w:numPr>
        <w:jc w:val="both"/>
        <w:rPr>
          <w:rFonts w:ascii="Arial" w:hAnsi="Arial" w:eastAsiaTheme="minorHAnsi" w:cs="Arial"/>
          <w:snapToGrid/>
          <w:sz w:val="22"/>
          <w:szCs w:val="22"/>
        </w:rPr>
      </w:pPr>
    </w:p>
    <w:p w:rsidR="00B67DD8" w:rsidRPr="00B67DD8" w:rsidP="00B67DD8" w14:paraId="33E19116"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b/>
          <w:bCs/>
          <w:snapToGrid/>
          <w:sz w:val="22"/>
          <w:szCs w:val="22"/>
        </w:rPr>
        <w:t>Bid Security and Method of Payment for Bonds</w:t>
      </w:r>
    </w:p>
    <w:p w:rsidR="00B67DD8" w:rsidRPr="00B67DD8" w:rsidP="00B67DD8" w14:paraId="6F87C258" w14:textId="77777777">
      <w:pPr>
        <w:widowControl/>
        <w:numPr>
          <w:ilvl w:val="12"/>
          <w:numId w:val="0"/>
        </w:numPr>
        <w:jc w:val="both"/>
        <w:rPr>
          <w:rFonts w:ascii="Arial" w:hAnsi="Arial" w:eastAsiaTheme="minorHAnsi" w:cs="Arial"/>
          <w:snapToGrid/>
          <w:sz w:val="22"/>
          <w:szCs w:val="22"/>
        </w:rPr>
      </w:pPr>
    </w:p>
    <w:p w:rsidR="00B67DD8" w:rsidP="00B67DD8" w14:paraId="4637A381" w14:textId="77777777">
      <w:pPr>
        <w:widowControl/>
        <w:numPr>
          <w:ilvl w:val="12"/>
          <w:numId w:val="0"/>
        </w:numPr>
        <w:jc w:val="both"/>
        <w:rPr>
          <w:rFonts w:ascii="Arial" w:hAnsi="Arial" w:eastAsiaTheme="minorHAnsi" w:cs="Arial"/>
          <w:b/>
          <w:bCs/>
          <w:snapToGrid/>
          <w:sz w:val="22"/>
          <w:szCs w:val="22"/>
        </w:rPr>
      </w:pPr>
      <w:r w:rsidRPr="00B67DD8">
        <w:rPr>
          <w:rFonts w:ascii="Arial" w:hAnsi="Arial" w:eastAsiaTheme="minorHAnsi" w:cs="Arial"/>
          <w:snapToGrid/>
          <w:sz w:val="22"/>
          <w:szCs w:val="22"/>
        </w:rPr>
        <w:tab/>
      </w:r>
      <w:r w:rsidRPr="00B67DD8">
        <w:rPr>
          <w:rFonts w:ascii="Arial" w:hAnsi="Arial" w:eastAsiaTheme="minorHAnsi" w:cs="Arial"/>
          <w:b/>
          <w:bCs/>
          <w:snapToGrid/>
          <w:sz w:val="22"/>
          <w:szCs w:val="22"/>
        </w:rPr>
        <w:t>A Good Faith Deposit (“Deposit”) in the form of a certified or cashier’s or treasurer’s check or wire transfer in the amount of $46,840, payable to the order of the Borough, is required for each Bid to be considered.  Wire instructions can be obtained by contacting Jennifer G. Edwards, Municipal Advisor, at (856) 234-2266 and such wire must be received and confirmed by the Borough prior to 11:00 a.m. (New Jersey time) on the Bid Date.  If a check is used, it must be a certified or cashier’s or treasurer’s check and must be provided to the Borough prior to 11:00 a.m. on the Bid Date.  Each Bidder accepts responsibility for delivering such deposit on time and the Borough is not responsible for any deposit that is not received on time.    No interest on the Deposit will accrue to the Winning Bidder.  The Deposit will be applied to the purchase price of the Bonds.  In the event the Winning Bidder fails to honor its accepted Bid or fails (other than for reasons permitted under this Notice) to accept delivery of and pay for the Bonds on the closing date, the Deposit shall be retained by the Borough as, and for, full liquidated damages to secure the Borough from any loss resulting from such failure by the Winning Bidder.  Award of the Bonds to the Winning Bidder or rejection of all Bids is expected to be made within two hours after opening of the Bids, but such Winning Bidder may not withdraw its proposal until after 2:00 p.m. on the Bid Date and then only if such award has not been made prior to the withdrawal of the Bid.  The balance of the purchase price shall be paid in Federal Funds by wire transfer to the Borough on or about July 21, 2026 but no later than the delivery date of the Bonds.</w:t>
      </w:r>
    </w:p>
    <w:p w:rsidR="00B67DD8" w:rsidRPr="00B67DD8" w:rsidP="00B67DD8" w14:paraId="36375AFE" w14:textId="77777777">
      <w:pPr>
        <w:widowControl/>
        <w:numPr>
          <w:ilvl w:val="12"/>
          <w:numId w:val="0"/>
        </w:numPr>
        <w:jc w:val="both"/>
        <w:rPr>
          <w:rFonts w:ascii="Arial" w:hAnsi="Arial" w:eastAsiaTheme="minorHAnsi" w:cs="Arial"/>
          <w:b/>
          <w:bCs/>
          <w:snapToGrid/>
          <w:sz w:val="22"/>
          <w:szCs w:val="22"/>
        </w:rPr>
      </w:pPr>
    </w:p>
    <w:p w:rsidR="00B67DD8" w:rsidRPr="00B67DD8" w:rsidP="00B67DD8" w14:paraId="5F885751" w14:textId="77777777">
      <w:pPr>
        <w:keepNext/>
        <w:widowControl/>
        <w:numPr>
          <w:ilvl w:val="12"/>
          <w:numId w:val="0"/>
        </w:numPr>
        <w:jc w:val="both"/>
        <w:rPr>
          <w:rFonts w:ascii="Arial" w:hAnsi="Arial" w:eastAsiaTheme="minorHAnsi" w:cs="Arial"/>
          <w:snapToGrid/>
          <w:sz w:val="22"/>
          <w:szCs w:val="22"/>
        </w:rPr>
      </w:pPr>
      <w:r w:rsidRPr="00B67DD8">
        <w:rPr>
          <w:rFonts w:ascii="Arial" w:hAnsi="Arial" w:eastAsiaTheme="minorHAnsi" w:cs="Arial"/>
          <w:b/>
          <w:bCs/>
          <w:snapToGrid/>
          <w:sz w:val="22"/>
          <w:szCs w:val="22"/>
        </w:rPr>
        <w:t>Right to Reject Bids; Waive Irregularities</w:t>
      </w:r>
    </w:p>
    <w:p w:rsidR="00B67DD8" w:rsidRPr="00B67DD8" w:rsidP="00B67DD8" w14:paraId="0C8A94E6" w14:textId="77777777">
      <w:pPr>
        <w:keepNext/>
        <w:widowControl/>
        <w:numPr>
          <w:ilvl w:val="12"/>
          <w:numId w:val="0"/>
        </w:numPr>
        <w:jc w:val="both"/>
        <w:rPr>
          <w:rFonts w:ascii="Arial" w:hAnsi="Arial" w:eastAsiaTheme="minorHAnsi" w:cs="Arial"/>
          <w:snapToGrid/>
          <w:sz w:val="22"/>
          <w:szCs w:val="22"/>
        </w:rPr>
      </w:pPr>
    </w:p>
    <w:p w:rsidR="00B67DD8" w:rsidRPr="00B67DD8" w:rsidP="00B67DD8" w14:paraId="3B7EE032"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snapToGrid/>
          <w:sz w:val="22"/>
          <w:szCs w:val="22"/>
        </w:rPr>
        <w:tab/>
        <w:t>The Borough reserves the right to reject any and all Bids and, to the extent permitted by law, to waive any irregularity or informality in any Bid.</w:t>
      </w:r>
    </w:p>
    <w:p w:rsidR="00B67DD8" w:rsidRPr="00B67DD8" w:rsidP="00B67DD8" w14:paraId="0D6BB130" w14:textId="77777777">
      <w:pPr>
        <w:widowControl/>
        <w:numPr>
          <w:ilvl w:val="12"/>
          <w:numId w:val="0"/>
        </w:numPr>
        <w:jc w:val="both"/>
        <w:rPr>
          <w:rFonts w:ascii="Arial" w:hAnsi="Arial" w:eastAsiaTheme="minorHAnsi" w:cs="Arial"/>
          <w:snapToGrid/>
          <w:sz w:val="22"/>
          <w:szCs w:val="22"/>
        </w:rPr>
      </w:pPr>
    </w:p>
    <w:p w:rsidR="00B67DD8" w:rsidRPr="00B67DD8" w:rsidP="00B67DD8" w14:paraId="77793BCD"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b/>
          <w:bCs/>
          <w:snapToGrid/>
          <w:sz w:val="22"/>
          <w:szCs w:val="22"/>
        </w:rPr>
        <w:t>Delivery of the Bonds</w:t>
      </w:r>
    </w:p>
    <w:p w:rsidR="00B67DD8" w:rsidRPr="00B67DD8" w:rsidP="00B67DD8" w14:paraId="00F81E9D" w14:textId="77777777">
      <w:pPr>
        <w:widowControl/>
        <w:numPr>
          <w:ilvl w:val="12"/>
          <w:numId w:val="0"/>
        </w:numPr>
        <w:jc w:val="both"/>
        <w:rPr>
          <w:rFonts w:ascii="Arial" w:hAnsi="Arial" w:eastAsiaTheme="minorHAnsi" w:cs="Arial"/>
          <w:snapToGrid/>
          <w:sz w:val="22"/>
          <w:szCs w:val="22"/>
        </w:rPr>
      </w:pPr>
    </w:p>
    <w:p w:rsidR="00B67DD8" w:rsidRPr="00B67DD8" w:rsidP="00B67DD8" w14:paraId="49BB1951"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snapToGrid/>
          <w:sz w:val="22"/>
          <w:szCs w:val="22"/>
        </w:rPr>
        <w:tab/>
        <w:t>The Bonds will be delivered on or about July 21, 2026 (UNLESS A NOTICE OF A CHANGE IN THE DELIVERY DATE IS PUBLISHED ON PARITY NOT LATER THAN 1 HOUR PRIOR TO ANY ANNOUNCED DATE FOR RECEIPT OF BIDS) to or at the direction of DTC against payment of the purchase price therefor (less the amount of the good faith deposit).  PAYMENT FOR THE BONDS AT THE TIME OF ORIGINAL ISSUANCE AND DELIVERY SHALL BE BY WIRE TRANSFER OF IMMEDIATELY AVAILABLE FUNDS.</w:t>
      </w:r>
    </w:p>
    <w:p w:rsidR="00B67DD8" w:rsidRPr="00B67DD8" w:rsidP="00B67DD8" w14:paraId="29C71FAE" w14:textId="77777777">
      <w:pPr>
        <w:widowControl/>
        <w:numPr>
          <w:ilvl w:val="12"/>
          <w:numId w:val="0"/>
        </w:numPr>
        <w:jc w:val="both"/>
        <w:rPr>
          <w:rFonts w:ascii="Arial" w:hAnsi="Arial" w:eastAsiaTheme="minorHAnsi" w:cs="Arial"/>
          <w:snapToGrid/>
          <w:sz w:val="22"/>
          <w:szCs w:val="22"/>
        </w:rPr>
      </w:pPr>
    </w:p>
    <w:p w:rsidR="00B67DD8" w:rsidRPr="00B67DD8" w:rsidP="00B67DD8" w14:paraId="571720B0"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snapToGrid/>
          <w:sz w:val="22"/>
          <w:szCs w:val="22"/>
        </w:rPr>
        <w:tab/>
        <w:t>There will also be furnished the usual closing certificates, including (1) a certificate, in form and tenor satisfactory to Bond Counsel and dated as of the date of such delivery of the Bonds, to the effect that there is no litigation pending or (to the knowledge of the signer or signers thereof) threatened affecting the validity of the Bonds, (2) certificates in form satisfactory to Bond Counsel evidencing the proper execution and delivery of the Bonds, the receipt of payment therefor and compliance with the requirements of the Internal Revenue Code of 1986, as amended (the “Code”), necessary to preserve the tax exemption on the Bonds from federal income taxes, (3) a certificate signed by the Borough relating to the Official Statement, and (4) a Continuing Disclosure Certificate evidencing compliance with the Rule (as defined herein) and the undertaking of the Borough with respect thereto.</w:t>
      </w:r>
    </w:p>
    <w:p w:rsidR="00B67DD8" w:rsidRPr="00B67DD8" w:rsidP="00B67DD8" w14:paraId="2D4DEEE8" w14:textId="77777777">
      <w:pPr>
        <w:widowControl/>
        <w:numPr>
          <w:ilvl w:val="12"/>
          <w:numId w:val="0"/>
        </w:numPr>
        <w:jc w:val="both"/>
        <w:rPr>
          <w:rFonts w:ascii="Arial" w:hAnsi="Arial" w:eastAsiaTheme="minorHAnsi" w:cs="Arial"/>
          <w:snapToGrid/>
          <w:sz w:val="22"/>
          <w:szCs w:val="22"/>
        </w:rPr>
      </w:pPr>
    </w:p>
    <w:p w:rsidR="00B67DD8" w:rsidRPr="00B67DD8" w:rsidP="00B67DD8" w14:paraId="21D3147F"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b/>
          <w:bCs/>
          <w:snapToGrid/>
          <w:sz w:val="22"/>
          <w:szCs w:val="22"/>
        </w:rPr>
        <w:t>CUSIP Identification Numbers</w:t>
      </w:r>
    </w:p>
    <w:p w:rsidR="00B67DD8" w:rsidRPr="00B67DD8" w:rsidP="00B67DD8" w14:paraId="39C61A4A" w14:textId="77777777">
      <w:pPr>
        <w:widowControl/>
        <w:numPr>
          <w:ilvl w:val="12"/>
          <w:numId w:val="0"/>
        </w:numPr>
        <w:jc w:val="both"/>
        <w:rPr>
          <w:rFonts w:ascii="Arial" w:hAnsi="Arial" w:eastAsiaTheme="minorHAnsi" w:cs="Arial"/>
          <w:snapToGrid/>
          <w:sz w:val="22"/>
          <w:szCs w:val="22"/>
        </w:rPr>
      </w:pPr>
    </w:p>
    <w:p w:rsidR="00B67DD8" w:rsidRPr="00B67DD8" w:rsidP="00B67DD8" w14:paraId="7FEB4DAA" w14:textId="77777777">
      <w:pPr>
        <w:widowControl/>
        <w:numPr>
          <w:ilvl w:val="12"/>
          <w:numId w:val="0"/>
        </w:numPr>
        <w:jc w:val="both"/>
        <w:rPr>
          <w:rFonts w:ascii="Arial" w:hAnsi="Arial" w:eastAsiaTheme="minorHAnsi" w:cstheme="minorBidi"/>
          <w:snapToGrid/>
          <w:sz w:val="22"/>
          <w:szCs w:val="22"/>
        </w:rPr>
      </w:pPr>
      <w:r w:rsidRPr="00B67DD8">
        <w:rPr>
          <w:rFonts w:ascii="Arial" w:hAnsi="Arial" w:eastAsiaTheme="minorHAnsi" w:cs="Arial"/>
          <w:snapToGrid/>
          <w:sz w:val="22"/>
          <w:szCs w:val="22"/>
        </w:rPr>
        <w:tab/>
      </w:r>
      <w:r w:rsidRPr="00B67DD8">
        <w:rPr>
          <w:rFonts w:ascii="Arial" w:hAnsi="Arial" w:eastAsiaTheme="minorHAnsi" w:cstheme="minorBidi"/>
          <w:snapToGrid/>
          <w:sz w:val="22"/>
          <w:szCs w:val="22"/>
        </w:rPr>
        <w:t>Acacia Financial Group, Inc., the Municipal Advisor to the Borough (the “Municipal Advisor”), shall timely apply for CUSIP identification numbers with respect to the Bonds as requested by the Municipal Securities Rulemaking Board Rule G-34, as amended, and the CUSIP Service Bureau charge therefor shall be the responsibility of, and shall be paid for by, the successful bidder.  The successful bidder will be responsible for notifying CUSIP Global Services of any changes in structure and shall add or cancel CUSIP numbers as needed to conform to the final structure.  CUSIP numbers must be communicated to Bond Counsel within twenty-four (24) hours of the award of the Bonds to have the CUSIP numbers printed on the Bonds.  The Borough will assume no obligation for the assignment or printing of such numbers on the Bonds or for the correctness of such numbers, and neither the failure to print such number on any Bond nor any error with respect thereto shall constitute cause for a failure or refusal by the purchaser thereof to accept delivery of and make payment for the Bonds in accordance with the terms of this Notice of Sale</w:t>
      </w:r>
      <w:r w:rsidRPr="00B67DD8">
        <w:rPr>
          <w:rFonts w:ascii="Arial" w:hAnsi="Arial" w:eastAsiaTheme="minorHAnsi" w:cs="Arial"/>
          <w:snapToGrid/>
          <w:sz w:val="22"/>
          <w:szCs w:val="22"/>
        </w:rPr>
        <w:t>.</w:t>
      </w:r>
    </w:p>
    <w:p w:rsidR="00B67DD8" w:rsidRPr="00B67DD8" w:rsidP="00B67DD8" w14:paraId="010F6939" w14:textId="77777777">
      <w:pPr>
        <w:widowControl/>
        <w:numPr>
          <w:ilvl w:val="12"/>
          <w:numId w:val="0"/>
        </w:numPr>
        <w:jc w:val="both"/>
        <w:rPr>
          <w:rFonts w:ascii="Arial" w:hAnsi="Arial" w:eastAsiaTheme="minorHAnsi" w:cs="Arial"/>
          <w:b/>
          <w:bCs/>
          <w:snapToGrid/>
          <w:sz w:val="22"/>
          <w:szCs w:val="22"/>
        </w:rPr>
      </w:pPr>
    </w:p>
    <w:p w:rsidR="00B67DD8" w:rsidRPr="00B67DD8" w:rsidP="00B67DD8" w14:paraId="474469ED"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b/>
          <w:bCs/>
          <w:snapToGrid/>
          <w:sz w:val="22"/>
          <w:szCs w:val="22"/>
        </w:rPr>
        <w:t>Legal Opinion</w:t>
      </w:r>
    </w:p>
    <w:p w:rsidR="00B67DD8" w:rsidRPr="00B67DD8" w:rsidP="00B67DD8" w14:paraId="26A0881C" w14:textId="77777777">
      <w:pPr>
        <w:widowControl/>
        <w:numPr>
          <w:ilvl w:val="12"/>
          <w:numId w:val="0"/>
        </w:numPr>
        <w:jc w:val="both"/>
        <w:rPr>
          <w:rFonts w:ascii="Arial" w:hAnsi="Arial" w:eastAsiaTheme="minorHAnsi" w:cs="Arial"/>
          <w:snapToGrid/>
          <w:sz w:val="22"/>
          <w:szCs w:val="22"/>
        </w:rPr>
      </w:pPr>
    </w:p>
    <w:p w:rsidR="00B67DD8" w:rsidRPr="00B67DD8" w:rsidP="00B67DD8" w14:paraId="77926566" w14:textId="77777777">
      <w:pPr>
        <w:widowControl/>
        <w:numPr>
          <w:ilvl w:val="12"/>
          <w:numId w:val="0"/>
        </w:numPr>
        <w:jc w:val="both"/>
        <w:rPr>
          <w:rFonts w:ascii="Arial" w:hAnsi="Arial" w:eastAsiaTheme="minorHAnsi" w:cstheme="minorBidi"/>
          <w:snapToGrid/>
          <w:sz w:val="22"/>
          <w:szCs w:val="22"/>
        </w:rPr>
      </w:pPr>
      <w:r w:rsidRPr="00B67DD8">
        <w:rPr>
          <w:rFonts w:ascii="Arial" w:hAnsi="Arial" w:eastAsiaTheme="minorHAnsi" w:cs="Arial"/>
          <w:snapToGrid/>
          <w:sz w:val="22"/>
          <w:szCs w:val="22"/>
        </w:rPr>
        <w:tab/>
        <w:t>The approving opinion of Wilentz, Goldman &amp; Spitzer, P.A., Woodbridge, New Jersey, Bond Counsel to the Borough, will be furnished without cost to the Winning Bidder</w:t>
      </w:r>
      <w:r w:rsidRPr="00B67DD8">
        <w:rPr>
          <w:rFonts w:ascii="Arial" w:hAnsi="Arial" w:eastAsiaTheme="minorHAnsi" w:cstheme="minorBidi"/>
          <w:snapToGrid/>
          <w:sz w:val="22"/>
          <w:szCs w:val="22"/>
        </w:rPr>
        <w:t xml:space="preserve">, such opinion to be substantially in the form set forth in the Official Statement distributed in preliminary form in connection with the marketing and sale of the Bonds, to the effect that the Bonds are valid and legally binding general obligations of the Borough, that all the taxable property therein will be subject to the levy of </w:t>
      </w:r>
      <w:r w:rsidRPr="00B67DD8">
        <w:rPr>
          <w:rFonts w:ascii="Arial" w:hAnsi="Arial" w:eastAsiaTheme="minorHAnsi" w:cstheme="minorBidi"/>
          <w:i/>
          <w:snapToGrid/>
          <w:sz w:val="22"/>
          <w:szCs w:val="22"/>
        </w:rPr>
        <w:t>ad valorem</w:t>
      </w:r>
      <w:r w:rsidRPr="00B67DD8">
        <w:rPr>
          <w:rFonts w:ascii="Arial" w:hAnsi="Arial" w:eastAsiaTheme="minorHAnsi" w:cstheme="minorBidi"/>
          <w:snapToGrid/>
          <w:sz w:val="22"/>
          <w:szCs w:val="22"/>
        </w:rPr>
        <w:t xml:space="preserve"> taxes to pay the principal of the Bonds and the interest thereon without limitation as to rate or amount and that interest on the Bonds is not includable as gross income under the Internal Revenue Code of 1986, as amended, if the Borough complies with all conditions subsequent contained in the Code, and that interest on the Bonds and any gain on the sale thereof is not includable as gross income under the existing New Jersey Gross Income Tax Act.</w:t>
      </w:r>
    </w:p>
    <w:p w:rsidR="00B67DD8" w:rsidRPr="00B67DD8" w:rsidP="00B67DD8" w14:paraId="4648E1FB" w14:textId="77777777">
      <w:pPr>
        <w:widowControl/>
        <w:numPr>
          <w:ilvl w:val="12"/>
          <w:numId w:val="0"/>
        </w:numPr>
        <w:jc w:val="both"/>
        <w:rPr>
          <w:rFonts w:ascii="Arial" w:hAnsi="Arial" w:eastAsiaTheme="minorHAnsi" w:cs="Arial"/>
          <w:b/>
          <w:bCs/>
          <w:snapToGrid/>
          <w:sz w:val="22"/>
          <w:szCs w:val="22"/>
        </w:rPr>
      </w:pPr>
    </w:p>
    <w:p w:rsidR="00B67DD8" w:rsidRPr="00B67DD8" w:rsidP="00B67DD8" w14:paraId="7512319F"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b/>
          <w:bCs/>
          <w:snapToGrid/>
          <w:sz w:val="22"/>
          <w:szCs w:val="22"/>
        </w:rPr>
        <w:t>Postponement</w:t>
      </w:r>
    </w:p>
    <w:p w:rsidR="00B67DD8" w:rsidRPr="00B67DD8" w:rsidP="00B67DD8" w14:paraId="56069FFD" w14:textId="77777777">
      <w:pPr>
        <w:widowControl/>
        <w:numPr>
          <w:ilvl w:val="12"/>
          <w:numId w:val="0"/>
        </w:numPr>
        <w:jc w:val="both"/>
        <w:rPr>
          <w:rFonts w:ascii="Arial" w:hAnsi="Arial" w:eastAsiaTheme="minorHAnsi" w:cs="Arial"/>
          <w:snapToGrid/>
          <w:sz w:val="22"/>
          <w:szCs w:val="22"/>
        </w:rPr>
      </w:pPr>
    </w:p>
    <w:p w:rsidR="00B67DD8" w:rsidRPr="00B67DD8" w:rsidP="00B67DD8" w14:paraId="5734973B"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snapToGrid/>
          <w:sz w:val="22"/>
          <w:szCs w:val="22"/>
        </w:rPr>
        <w:tab/>
        <w:t xml:space="preserve">The Borough reserves the right to postpone, from time to time, the date and time established for receipt of Bids. </w:t>
      </w:r>
      <w:r w:rsidRPr="00B67DD8">
        <w:rPr>
          <w:rFonts w:ascii="Arial" w:hAnsi="Arial" w:eastAsiaTheme="minorHAnsi" w:cs="Arial"/>
          <w:b/>
          <w:bCs/>
          <w:snapToGrid/>
          <w:sz w:val="22"/>
          <w:szCs w:val="22"/>
        </w:rPr>
        <w:t>ANY SUCH POSTPONEMENT WILL BE PUBLISHED ON PARITY, PRIOR TO 11:00 A.M. ON THE BID DATE</w:t>
      </w:r>
      <w:r w:rsidRPr="00B67DD8">
        <w:rPr>
          <w:rFonts w:ascii="Arial" w:hAnsi="Arial" w:eastAsiaTheme="minorHAnsi" w:cs="Arial"/>
          <w:snapToGrid/>
          <w:sz w:val="22"/>
          <w:szCs w:val="22"/>
        </w:rPr>
        <w:t>.  If any date fixed for the receipt of Bids and the sale of the Bonds is postponed, an alternative sale date will be announced via PARITY at least forty-eight (48) hours prior to such alternative sale date.  On any such alternative sale date, any Bidder may submit a Bid for the purchase of the Bonds in conformity in all respects with the provisions of this Notice of Sale, except for the date of sale and except for the changes announced on PARITY at the time the sale date and time are announced.</w:t>
      </w:r>
    </w:p>
    <w:p w:rsidR="00B67DD8" w:rsidRPr="00B67DD8" w:rsidP="00B67DD8" w14:paraId="179AA8F9" w14:textId="77777777">
      <w:pPr>
        <w:widowControl/>
        <w:numPr>
          <w:ilvl w:val="12"/>
          <w:numId w:val="0"/>
        </w:numPr>
        <w:jc w:val="both"/>
        <w:rPr>
          <w:rFonts w:ascii="Arial" w:hAnsi="Arial" w:eastAsiaTheme="minorHAnsi" w:cs="Arial"/>
          <w:bCs/>
          <w:snapToGrid/>
          <w:sz w:val="22"/>
          <w:szCs w:val="22"/>
        </w:rPr>
      </w:pPr>
    </w:p>
    <w:p w:rsidR="00B67DD8" w:rsidRPr="00B67DD8" w:rsidP="00B67DD8" w14:paraId="23511992" w14:textId="77777777">
      <w:pPr>
        <w:widowControl/>
        <w:numPr>
          <w:ilvl w:val="12"/>
          <w:numId w:val="0"/>
        </w:numPr>
        <w:jc w:val="both"/>
        <w:rPr>
          <w:rFonts w:ascii="Arial" w:hAnsi="Arial" w:eastAsiaTheme="minorHAnsi" w:cs="Arial"/>
          <w:b/>
          <w:bCs/>
          <w:snapToGrid/>
          <w:sz w:val="22"/>
          <w:szCs w:val="22"/>
        </w:rPr>
      </w:pPr>
      <w:r w:rsidRPr="00B67DD8">
        <w:rPr>
          <w:rFonts w:ascii="Arial" w:hAnsi="Arial" w:eastAsiaTheme="minorHAnsi" w:cs="Arial"/>
          <w:b/>
          <w:bCs/>
          <w:snapToGrid/>
          <w:sz w:val="22"/>
          <w:szCs w:val="22"/>
        </w:rPr>
        <w:t>Termination</w:t>
      </w:r>
    </w:p>
    <w:p w:rsidR="00B67DD8" w:rsidRPr="00B67DD8" w:rsidP="00B67DD8" w14:paraId="794EC9F5" w14:textId="77777777">
      <w:pPr>
        <w:widowControl/>
        <w:numPr>
          <w:ilvl w:val="12"/>
          <w:numId w:val="0"/>
        </w:numPr>
        <w:jc w:val="both"/>
        <w:rPr>
          <w:rFonts w:ascii="Arial" w:hAnsi="Arial" w:eastAsiaTheme="minorHAnsi" w:cs="Arial"/>
          <w:bCs/>
          <w:snapToGrid/>
          <w:sz w:val="22"/>
          <w:szCs w:val="22"/>
        </w:rPr>
      </w:pPr>
    </w:p>
    <w:p w:rsidR="00B67DD8" w:rsidRPr="00B67DD8" w:rsidP="00B67DD8" w14:paraId="5EA6A6A0" w14:textId="77777777">
      <w:pPr>
        <w:widowControl/>
        <w:tabs>
          <w:tab w:val="left" w:pos="-1440"/>
          <w:tab w:val="left" w:pos="-720"/>
          <w:tab w:val="left" w:pos="864"/>
          <w:tab w:val="left" w:pos="1728"/>
          <w:tab w:val="left" w:pos="4608"/>
          <w:tab w:val="left" w:pos="7056"/>
        </w:tabs>
        <w:suppressAutoHyphens/>
        <w:jc w:val="both"/>
        <w:rPr>
          <w:rFonts w:ascii="Arial" w:hAnsi="Arial" w:eastAsiaTheme="minorHAnsi" w:cs="Arial"/>
          <w:b/>
          <w:bCs/>
          <w:snapToGrid/>
          <w:sz w:val="22"/>
          <w:szCs w:val="22"/>
        </w:rPr>
      </w:pPr>
      <w:r w:rsidRPr="00B67DD8">
        <w:rPr>
          <w:rFonts w:ascii="Arial" w:hAnsi="Arial" w:eastAsiaTheme="minorHAnsi" w:cs="Arial"/>
          <w:snapToGrid/>
          <w:sz w:val="22"/>
          <w:szCs w:val="22"/>
        </w:rPr>
        <w:tab/>
        <w:t>The Winning Bidder at its option may refuse to accept the Bonds if prior to their delivery any change in any income tax law of the United States of America shall provide that the interest thereon is includable or shall be includable in gross income at a future date for Federal income tax purposes.  In such case, the deposit made by such Winning Bidder shall be returned and such Bidder will be relieved of its contractual obligations arising from the acceptance of its Winning Bid.</w:t>
      </w:r>
    </w:p>
    <w:p w:rsidR="00B67DD8" w:rsidRPr="00B67DD8" w:rsidP="00B67DD8" w14:paraId="3A53343F" w14:textId="77777777">
      <w:pPr>
        <w:widowControl/>
        <w:rPr>
          <w:rFonts w:ascii="Arial" w:hAnsi="Arial" w:eastAsiaTheme="minorHAnsi" w:cs="Arial"/>
          <w:b/>
          <w:bCs/>
          <w:snapToGrid/>
          <w:sz w:val="22"/>
          <w:szCs w:val="22"/>
        </w:rPr>
      </w:pPr>
    </w:p>
    <w:p w:rsidR="00B67DD8" w:rsidRPr="00B67DD8" w:rsidP="00B67DD8" w14:paraId="250832D9" w14:textId="77777777">
      <w:pPr>
        <w:widowControl/>
        <w:rPr>
          <w:rFonts w:ascii="Arial" w:hAnsi="Arial" w:eastAsiaTheme="minorHAnsi" w:cs="Arial"/>
          <w:b/>
          <w:bCs/>
          <w:snapToGrid/>
          <w:sz w:val="22"/>
          <w:szCs w:val="22"/>
        </w:rPr>
      </w:pPr>
      <w:r w:rsidRPr="00B67DD8">
        <w:rPr>
          <w:rFonts w:ascii="Arial" w:hAnsi="Arial" w:eastAsiaTheme="minorHAnsi" w:cs="Arial"/>
          <w:b/>
          <w:bCs/>
          <w:snapToGrid/>
          <w:sz w:val="22"/>
          <w:szCs w:val="22"/>
        </w:rPr>
        <w:t>Additional Information</w:t>
      </w:r>
    </w:p>
    <w:p w:rsidR="00B67DD8" w:rsidRPr="00B67DD8" w:rsidP="00B67DD8" w14:paraId="46938021" w14:textId="77777777">
      <w:pPr>
        <w:widowControl/>
        <w:numPr>
          <w:ilvl w:val="12"/>
          <w:numId w:val="0"/>
        </w:numPr>
        <w:jc w:val="both"/>
        <w:rPr>
          <w:rFonts w:ascii="Arial" w:hAnsi="Arial" w:eastAsiaTheme="minorHAnsi" w:cs="Arial"/>
          <w:snapToGrid/>
          <w:sz w:val="22"/>
          <w:szCs w:val="22"/>
        </w:rPr>
      </w:pPr>
    </w:p>
    <w:p w:rsidR="00B67DD8" w:rsidRPr="00B67DD8" w:rsidP="00B67DD8" w14:paraId="23A74EE7" w14:textId="77777777">
      <w:pPr>
        <w:widowControl/>
        <w:tabs>
          <w:tab w:val="left" w:pos="-1440"/>
          <w:tab w:val="left" w:pos="-720"/>
          <w:tab w:val="left" w:pos="864"/>
          <w:tab w:val="left" w:pos="1728"/>
          <w:tab w:val="left" w:pos="4608"/>
          <w:tab w:val="left" w:pos="7056"/>
        </w:tabs>
        <w:suppressAutoHyphens/>
        <w:jc w:val="both"/>
        <w:rPr>
          <w:rFonts w:ascii="Arial" w:hAnsi="Arial" w:eastAsiaTheme="minorHAnsi" w:cs="Arial"/>
          <w:snapToGrid/>
          <w:sz w:val="22"/>
          <w:szCs w:val="22"/>
        </w:rPr>
      </w:pPr>
      <w:r w:rsidRPr="00B67DD8">
        <w:rPr>
          <w:rFonts w:ascii="Arial" w:hAnsi="Arial" w:eastAsiaTheme="minorHAnsi" w:cs="Arial"/>
          <w:snapToGrid/>
          <w:sz w:val="22"/>
          <w:szCs w:val="22"/>
        </w:rPr>
        <w:tab/>
        <w:t xml:space="preserve">For further information relating to the Bonds, reference is made to the POS prepared for and authorized by the Borough.  This Notice of Sale and the POS may be viewed on </w:t>
      </w:r>
      <w:r w:rsidRPr="00B67DD8">
        <w:rPr>
          <w:rFonts w:ascii="Arial" w:hAnsi="Arial" w:eastAsiaTheme="minorHAnsi" w:cs="Arial"/>
          <w:snapToGrid/>
          <w:sz w:val="22"/>
          <w:szCs w:val="22"/>
          <w:u w:val="single"/>
        </w:rPr>
        <w:t>https://mcelweequinn.com</w:t>
      </w:r>
      <w:r w:rsidRPr="00B67DD8">
        <w:rPr>
          <w:rFonts w:ascii="Arial" w:hAnsi="Arial" w:eastAsiaTheme="minorHAnsi" w:cs="Arial"/>
          <w:snapToGrid/>
          <w:sz w:val="22"/>
          <w:szCs w:val="22"/>
        </w:rPr>
        <w:t xml:space="preserve">.  However, the Borough makes no assurance or representation with respect to the form of this Notice of Sale and the POS on </w:t>
      </w:r>
      <w:r w:rsidRPr="00B67DD8">
        <w:rPr>
          <w:rFonts w:ascii="Arial" w:hAnsi="Arial" w:eastAsiaTheme="minorHAnsi" w:cs="Arial"/>
          <w:snapToGrid/>
          <w:sz w:val="22"/>
          <w:szCs w:val="22"/>
          <w:u w:val="single"/>
        </w:rPr>
        <w:t>https://mcelweequinn.com</w:t>
      </w:r>
      <w:r w:rsidRPr="00B67DD8">
        <w:rPr>
          <w:rFonts w:ascii="Arial" w:hAnsi="Arial" w:eastAsiaTheme="minorHAnsi" w:cs="Arial"/>
          <w:snapToGrid/>
          <w:sz w:val="22"/>
          <w:szCs w:val="22"/>
        </w:rPr>
        <w:t>, and no investment decision should be made in reliance thereon.  Printed copies of this Notice of Sale and the POS may be obtained from Bond Counsel at the address and phone number stated below.  Additional information relating to the financing of the Borough can be obtained by contacting Julia Edmondson, Chief Financial Officer, Borough of Riverton, 505A Howard Street, Riverton, New Jersey 08077, or by telephone at (856) 829-0120; Bond Counsel, Charles “Tony” Solimine, Esq., Wilentz, Goldman &amp; Spitzer, P.A., 90 Woodbridge Center Drive, Woodbridge, New Jersey 07095, or by telephone at (732) 855-6430, or the Municipal Advisor, Jennifer G. Edwards, Acacia Financial Group, Inc., 6000 Midlantic Drive, Suite 410 North, Mount Laurel, New Jersey 08054, or by telephone at (856) 234-2266.</w:t>
      </w:r>
    </w:p>
    <w:p w:rsidR="00B67DD8" w:rsidRPr="00B67DD8" w:rsidP="00B67DD8" w14:paraId="648AB062"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rPr>
      </w:pPr>
    </w:p>
    <w:p w:rsidR="00B67DD8" w:rsidRPr="00B67DD8" w:rsidP="00B67DD8" w14:paraId="379D8FD8"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rPr>
      </w:pPr>
    </w:p>
    <w:p w:rsidR="00B67DD8" w:rsidRPr="00B67DD8" w:rsidP="00B67DD8" w14:paraId="32A42F0E"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rPr>
      </w:pPr>
    </w:p>
    <w:p w:rsidR="00B67DD8" w:rsidRPr="00B67DD8" w:rsidP="00B67DD8" w14:paraId="5FAE00E7"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u w:val="single"/>
        </w:rPr>
      </w:pP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r>
      <w:r w:rsidRPr="00B67DD8">
        <w:rPr>
          <w:rFonts w:ascii="Arial" w:hAnsi="Arial" w:eastAsiaTheme="minorHAnsi" w:cs="Arial"/>
          <w:snapToGrid/>
          <w:sz w:val="22"/>
          <w:szCs w:val="22"/>
          <w:u w:val="single"/>
        </w:rPr>
        <w:t>/s/Julia Edmondson</w:t>
      </w:r>
      <w:r w:rsidRPr="00B67DD8">
        <w:rPr>
          <w:rFonts w:ascii="Arial" w:hAnsi="Arial" w:eastAsiaTheme="minorHAnsi" w:cs="Arial"/>
          <w:snapToGrid/>
          <w:sz w:val="22"/>
          <w:szCs w:val="22"/>
          <w:u w:val="single"/>
        </w:rPr>
        <w:tab/>
      </w:r>
      <w:r w:rsidRPr="00B67DD8">
        <w:rPr>
          <w:rFonts w:ascii="Arial" w:hAnsi="Arial" w:eastAsiaTheme="minorHAnsi" w:cs="Arial"/>
          <w:snapToGrid/>
          <w:sz w:val="22"/>
          <w:szCs w:val="22"/>
          <w:u w:val="single"/>
        </w:rPr>
        <w:tab/>
      </w:r>
      <w:r w:rsidRPr="00B67DD8">
        <w:rPr>
          <w:rFonts w:ascii="Arial" w:hAnsi="Arial" w:eastAsiaTheme="minorHAnsi" w:cs="Arial"/>
          <w:snapToGrid/>
          <w:sz w:val="22"/>
          <w:szCs w:val="22"/>
          <w:u w:val="single"/>
        </w:rPr>
        <w:tab/>
      </w:r>
      <w:r w:rsidRPr="00B67DD8">
        <w:rPr>
          <w:rFonts w:ascii="Arial" w:hAnsi="Arial" w:eastAsiaTheme="minorHAnsi" w:cs="Arial"/>
          <w:snapToGrid/>
          <w:sz w:val="22"/>
          <w:szCs w:val="22"/>
          <w:u w:val="single"/>
        </w:rPr>
        <w:tab/>
      </w:r>
      <w:r w:rsidRPr="00B67DD8">
        <w:rPr>
          <w:rFonts w:ascii="Arial" w:hAnsi="Arial" w:eastAsiaTheme="minorHAnsi" w:cs="Arial"/>
          <w:snapToGrid/>
          <w:sz w:val="22"/>
          <w:szCs w:val="22"/>
          <w:u w:val="single"/>
        </w:rPr>
        <w:tab/>
      </w:r>
    </w:p>
    <w:p w:rsidR="00B67DD8" w:rsidRPr="00B67DD8" w:rsidP="00B67DD8" w14:paraId="31658F6F"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rPr>
      </w:pP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t>Julia Edmondson</w:t>
      </w:r>
    </w:p>
    <w:p w:rsidR="00B67DD8" w:rsidRPr="00B67DD8" w:rsidP="00B67DD8" w14:paraId="203C7649"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rPr>
      </w:pP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t>Chief Financial Officer</w:t>
      </w:r>
    </w:p>
    <w:p w:rsidR="00B67DD8" w:rsidRPr="00B67DD8" w:rsidP="00B67DD8" w14:paraId="4A9283A5"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rPr>
      </w:pP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t>Borough of Riverton</w:t>
      </w:r>
    </w:p>
    <w:p w:rsidR="00B67DD8" w:rsidRPr="00B67DD8" w:rsidP="00B67DD8" w14:paraId="71D12276"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rPr>
      </w:pP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t>in the County of Burlington</w:t>
      </w:r>
    </w:p>
    <w:p w:rsidR="00B67DD8" w:rsidRPr="00B67DD8" w:rsidP="00B67DD8" w14:paraId="7F23FAAE" w14:textId="77777777">
      <w:pPr>
        <w:widowControl/>
        <w:tabs>
          <w:tab w:val="left" w:pos="-1440"/>
          <w:tab w:val="left" w:pos="-720"/>
          <w:tab w:val="left" w:pos="1440"/>
          <w:tab w:val="left" w:pos="4608"/>
          <w:tab w:val="left" w:pos="7056"/>
        </w:tabs>
        <w:suppressAutoHyphens/>
        <w:jc w:val="both"/>
        <w:rPr>
          <w:rFonts w:ascii="Arial" w:hAnsi="Arial" w:eastAsiaTheme="minorHAnsi" w:cs="Arial"/>
          <w:snapToGrid/>
          <w:sz w:val="22"/>
          <w:szCs w:val="22"/>
        </w:rPr>
      </w:pPr>
      <w:r w:rsidRPr="00B67DD8">
        <w:rPr>
          <w:rFonts w:ascii="Arial" w:hAnsi="Arial" w:eastAsiaTheme="minorHAnsi" w:cs="Arial"/>
          <w:snapToGrid/>
          <w:sz w:val="22"/>
          <w:szCs w:val="22"/>
        </w:rPr>
        <w:tab/>
      </w:r>
      <w:r w:rsidRPr="00B67DD8">
        <w:rPr>
          <w:rFonts w:ascii="Arial" w:hAnsi="Arial" w:eastAsiaTheme="minorHAnsi" w:cs="Arial"/>
          <w:snapToGrid/>
          <w:sz w:val="22"/>
          <w:szCs w:val="22"/>
        </w:rPr>
        <w:tab/>
        <w:t>State of New Jersey</w:t>
      </w:r>
    </w:p>
    <w:p w:rsidR="00B67DD8" w:rsidRPr="00B67DD8" w:rsidP="00B67DD8" w14:paraId="2254E21E" w14:textId="77777777">
      <w:pPr>
        <w:widowControl/>
        <w:numPr>
          <w:ilvl w:val="12"/>
          <w:numId w:val="0"/>
        </w:numPr>
        <w:jc w:val="both"/>
        <w:rPr>
          <w:rFonts w:ascii="Arial" w:hAnsi="Arial" w:eastAsiaTheme="minorHAnsi" w:cs="Arial"/>
          <w:snapToGrid/>
          <w:sz w:val="22"/>
          <w:szCs w:val="22"/>
        </w:rPr>
      </w:pPr>
    </w:p>
    <w:p w:rsidR="00B67DD8" w:rsidRPr="00B67DD8" w:rsidP="00B67DD8" w14:paraId="2D736AF2" w14:textId="77777777">
      <w:pPr>
        <w:widowControl/>
        <w:numPr>
          <w:ilvl w:val="12"/>
          <w:numId w:val="0"/>
        </w:numPr>
        <w:jc w:val="both"/>
        <w:rPr>
          <w:rFonts w:ascii="Arial" w:hAnsi="Arial" w:eastAsiaTheme="minorHAnsi" w:cs="Arial"/>
          <w:snapToGrid/>
          <w:sz w:val="22"/>
          <w:szCs w:val="22"/>
        </w:rPr>
      </w:pPr>
    </w:p>
    <w:p w:rsidR="00B67DD8" w:rsidRPr="00B67DD8" w:rsidP="00B67DD8" w14:paraId="3FDA9BC8" w14:textId="77777777">
      <w:pPr>
        <w:widowControl/>
        <w:numPr>
          <w:ilvl w:val="12"/>
          <w:numId w:val="0"/>
        </w:numPr>
        <w:jc w:val="both"/>
        <w:rPr>
          <w:rFonts w:ascii="Arial" w:hAnsi="Arial" w:eastAsiaTheme="minorHAnsi" w:cs="Arial"/>
          <w:snapToGrid/>
          <w:sz w:val="22"/>
          <w:szCs w:val="22"/>
        </w:rPr>
      </w:pPr>
      <w:r w:rsidRPr="00B67DD8">
        <w:rPr>
          <w:rFonts w:ascii="Arial" w:hAnsi="Arial" w:eastAsiaTheme="minorHAnsi" w:cs="Arial"/>
          <w:snapToGrid/>
          <w:sz w:val="22"/>
          <w:szCs w:val="22"/>
        </w:rPr>
        <w:t>Dated:  June 30, 2026</w:t>
      </w:r>
    </w:p>
    <w:p w:rsidR="00B67DD8" w:rsidRPr="00B67DD8" w:rsidP="00B67DD8" w14:paraId="409727A4" w14:textId="77777777">
      <w:pPr>
        <w:widowControl/>
        <w:numPr>
          <w:ilvl w:val="12"/>
          <w:numId w:val="0"/>
        </w:numPr>
        <w:jc w:val="both"/>
        <w:rPr>
          <w:rFonts w:ascii="Arial" w:hAnsi="Arial" w:eastAsiaTheme="minorHAnsi" w:cs="Arial"/>
          <w:snapToGrid/>
          <w:sz w:val="22"/>
          <w:szCs w:val="22"/>
        </w:rPr>
        <w:sectPr w:rsidSect="00B67DD8">
          <w:headerReference w:type="even" r:id="rId7"/>
          <w:headerReference w:type="default" r:id="rId8"/>
          <w:footerReference w:type="even" r:id="rId9"/>
          <w:footerReference w:type="default" r:id="rId10"/>
          <w:headerReference w:type="first" r:id="rId11"/>
          <w:footerReference w:type="first" r:id="rId12"/>
          <w:footnotePr>
            <w:numFmt w:val="chicago"/>
            <w:numRestart w:val="eachPage"/>
          </w:footnotePr>
          <w:pgSz w:w="12240" w:h="15840"/>
          <w:pgMar w:top="1440" w:right="1440" w:bottom="1440" w:left="1440" w:header="720" w:footer="720" w:gutter="0"/>
          <w:pgNumType w:start="1"/>
          <w:cols w:space="720"/>
        </w:sectPr>
      </w:pPr>
    </w:p>
    <w:p w:rsidR="00B67DD8" w:rsidRPr="00B67DD8" w:rsidP="00B67DD8" w14:paraId="01D88C3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Theme="minorHAnsi" w:cs="Arial"/>
          <w:b/>
          <w:snapToGrid/>
          <w:sz w:val="23"/>
          <w:szCs w:val="22"/>
        </w:rPr>
      </w:pPr>
      <w:r w:rsidRPr="00B67DD8">
        <w:rPr>
          <w:rFonts w:ascii="Arial" w:hAnsi="Arial" w:eastAsiaTheme="minorHAnsi" w:cs="Arial"/>
          <w:b/>
          <w:snapToGrid/>
          <w:sz w:val="23"/>
          <w:szCs w:val="22"/>
        </w:rPr>
        <w:t>EXHIBIT A</w:t>
      </w:r>
    </w:p>
    <w:p w:rsidR="00B67DD8" w:rsidRPr="00B67DD8" w:rsidP="00B67DD8" w14:paraId="6B8787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Theme="minorHAnsi" w:cs="Arial"/>
          <w:b/>
          <w:snapToGrid/>
          <w:sz w:val="23"/>
          <w:szCs w:val="22"/>
        </w:rPr>
      </w:pPr>
      <w:r w:rsidRPr="00B67DD8">
        <w:rPr>
          <w:rFonts w:ascii="Arial" w:hAnsi="Arial" w:eastAsiaTheme="minorHAnsi" w:cs="Arial"/>
          <w:b/>
          <w:snapToGrid/>
          <w:sz w:val="23"/>
          <w:szCs w:val="22"/>
        </w:rPr>
        <w:t>to</w:t>
      </w:r>
    </w:p>
    <w:p w:rsidR="00B67DD8" w:rsidP="00B67DD8" w14:paraId="496ACBB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Theme="minorHAnsi" w:cs="Arial"/>
          <w:b/>
          <w:snapToGrid/>
          <w:sz w:val="23"/>
          <w:szCs w:val="22"/>
        </w:rPr>
      </w:pPr>
      <w:r w:rsidRPr="00B67DD8">
        <w:rPr>
          <w:rFonts w:ascii="Arial" w:hAnsi="Arial" w:eastAsiaTheme="minorHAnsi" w:cs="Arial"/>
          <w:b/>
          <w:snapToGrid/>
          <w:sz w:val="23"/>
          <w:szCs w:val="22"/>
        </w:rPr>
        <w:t>Notice of Sale</w:t>
      </w:r>
    </w:p>
    <w:p w:rsidR="00B67DD8" w:rsidRPr="00B67DD8" w:rsidP="00B67DD8" w14:paraId="225E68B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Theme="minorHAnsi" w:cs="Arial"/>
          <w:b/>
          <w:snapToGrid/>
          <w:sz w:val="23"/>
          <w:szCs w:val="22"/>
        </w:rPr>
      </w:pPr>
    </w:p>
    <w:p w:rsidR="00B67DD8" w:rsidP="00B67DD8" w14:paraId="5D68021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Theme="minorHAnsi" w:cs="Arial"/>
          <w:b/>
          <w:snapToGrid/>
          <w:sz w:val="23"/>
          <w:szCs w:val="22"/>
        </w:rPr>
      </w:pPr>
      <w:r w:rsidRPr="00B67DD8">
        <w:rPr>
          <w:rFonts w:ascii="Arial" w:hAnsi="Arial" w:eastAsiaTheme="minorHAnsi" w:cs="Arial"/>
          <w:b/>
          <w:snapToGrid/>
          <w:sz w:val="23"/>
          <w:szCs w:val="22"/>
        </w:rPr>
        <w:t>$2,342,000* General Obligation Bonds, Series 2026</w:t>
      </w:r>
    </w:p>
    <w:p w:rsidR="00B67DD8" w:rsidRPr="00B67DD8" w:rsidP="00B67DD8" w14:paraId="63D72F4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Theme="minorHAnsi" w:cs="Arial"/>
          <w:b/>
          <w:snapToGrid/>
          <w:sz w:val="23"/>
          <w:szCs w:val="22"/>
        </w:rPr>
      </w:pPr>
    </w:p>
    <w:p w:rsidR="00B67DD8" w:rsidRPr="00B67DD8" w:rsidP="00B67DD8" w14:paraId="6301FFF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Theme="minorHAnsi" w:cs="Arial"/>
          <w:b/>
          <w:snapToGrid/>
          <w:sz w:val="23"/>
          <w:szCs w:val="22"/>
          <w:u w:val="single"/>
        </w:rPr>
      </w:pPr>
    </w:p>
    <w:p w:rsidR="00B67DD8" w:rsidRPr="00B67DD8" w:rsidP="00B67DD8" w14:paraId="5EC5B6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Theme="minorHAnsi" w:cs="Arial"/>
          <w:b/>
          <w:snapToGrid/>
          <w:sz w:val="23"/>
          <w:szCs w:val="22"/>
          <w:u w:val="single"/>
        </w:rPr>
      </w:pPr>
      <w:r w:rsidRPr="00B67DD8">
        <w:rPr>
          <w:rFonts w:ascii="Arial" w:hAnsi="Arial" w:eastAsiaTheme="minorHAnsi" w:cs="Arial"/>
          <w:b/>
          <w:snapToGrid/>
          <w:sz w:val="23"/>
          <w:szCs w:val="22"/>
          <w:u w:val="single"/>
        </w:rPr>
        <w:t>Form of Issue Price Certificate</w:t>
      </w:r>
    </w:p>
    <w:p w:rsidR="00B67DD8" w:rsidRPr="00B67DD8" w:rsidP="00B67DD8" w14:paraId="61F7D598" w14:textId="77777777">
      <w:pPr>
        <w:widowControl/>
        <w:tabs>
          <w:tab w:val="right" w:pos="9360"/>
        </w:tabs>
        <w:jc w:val="center"/>
        <w:rPr>
          <w:rFonts w:ascii="Arial" w:hAnsi="Arial" w:eastAsiaTheme="minorHAnsi" w:cs="Arial"/>
          <w:snapToGrid/>
          <w:sz w:val="23"/>
          <w:szCs w:val="22"/>
        </w:rPr>
      </w:pPr>
    </w:p>
    <w:p w:rsidR="00B67DD8" w:rsidRPr="00B67DD8" w:rsidP="00B67DD8" w14:paraId="7BCA1AC8" w14:textId="77777777">
      <w:pPr>
        <w:widowControl/>
        <w:tabs>
          <w:tab w:val="right" w:pos="9360"/>
        </w:tabs>
        <w:jc w:val="center"/>
        <w:rPr>
          <w:rFonts w:ascii="Arial" w:hAnsi="Arial" w:eastAsiaTheme="minorHAnsi" w:cs="Arial"/>
          <w:snapToGrid/>
          <w:sz w:val="23"/>
          <w:szCs w:val="22"/>
        </w:rPr>
      </w:pPr>
    </w:p>
    <w:p w:rsidR="00B67DD8" w:rsidRPr="00B67DD8" w:rsidP="00B67DD8" w14:paraId="25EABD92" w14:textId="1AE3571F">
      <w:pPr>
        <w:widowControl/>
        <w:tabs>
          <w:tab w:val="left" w:pos="5040"/>
          <w:tab w:val="right" w:pos="9360"/>
        </w:tabs>
        <w:rPr>
          <w:rFonts w:ascii="Arial" w:hAnsi="Arial" w:eastAsiaTheme="minorHAnsi" w:cs="Arial"/>
          <w:snapToGrid/>
          <w:sz w:val="23"/>
          <w:szCs w:val="22"/>
        </w:rPr>
      </w:pPr>
      <w:r w:rsidRPr="00B67DD8">
        <w:rPr>
          <w:rFonts w:ascii="Arial" w:hAnsi="Arial" w:eastAsiaTheme="minorHAnsi" w:cs="Arial"/>
          <w:snapToGrid/>
          <w:sz w:val="23"/>
          <w:szCs w:val="22"/>
        </w:rPr>
        <w:tab/>
        <w:t>July ___, 2026</w:t>
      </w:r>
    </w:p>
    <w:p w:rsidR="00B67DD8" w:rsidRPr="00B67DD8" w:rsidP="00B67DD8" w14:paraId="397760CF" w14:textId="77777777">
      <w:pPr>
        <w:widowControl/>
        <w:rPr>
          <w:rFonts w:ascii="Arial" w:hAnsi="Arial" w:eastAsiaTheme="minorHAnsi" w:cs="Arial"/>
          <w:snapToGrid/>
          <w:sz w:val="23"/>
          <w:szCs w:val="22"/>
        </w:rPr>
      </w:pPr>
    </w:p>
    <w:p w:rsidR="00B67DD8" w:rsidRPr="00B67DD8" w:rsidP="00B67DD8" w14:paraId="33C9A5B7" w14:textId="77777777">
      <w:pPr>
        <w:widowControl/>
        <w:rPr>
          <w:rFonts w:ascii="Arial" w:hAnsi="Arial" w:eastAsiaTheme="minorHAnsi" w:cs="Arial"/>
          <w:snapToGrid/>
          <w:sz w:val="23"/>
          <w:szCs w:val="22"/>
        </w:rPr>
      </w:pPr>
      <w:r w:rsidRPr="00B67DD8">
        <w:rPr>
          <w:rFonts w:ascii="Arial" w:hAnsi="Arial" w:eastAsiaTheme="minorHAnsi" w:cs="Arial"/>
          <w:snapToGrid/>
          <w:sz w:val="23"/>
          <w:szCs w:val="22"/>
        </w:rPr>
        <w:t>Borough of Riverton</w:t>
      </w:r>
    </w:p>
    <w:p w:rsidR="00B67DD8" w:rsidRPr="00B67DD8" w:rsidP="00B67DD8" w14:paraId="59E72004" w14:textId="77777777">
      <w:pPr>
        <w:widowControl/>
        <w:rPr>
          <w:rFonts w:ascii="Arial" w:hAnsi="Arial" w:eastAsiaTheme="minorHAnsi" w:cs="Arial"/>
          <w:snapToGrid/>
          <w:sz w:val="23"/>
          <w:szCs w:val="22"/>
        </w:rPr>
      </w:pPr>
      <w:r w:rsidRPr="00B67DD8">
        <w:rPr>
          <w:rFonts w:ascii="Arial" w:hAnsi="Arial" w:eastAsiaTheme="minorHAnsi" w:cs="Arial"/>
          <w:snapToGrid/>
          <w:sz w:val="23"/>
          <w:szCs w:val="22"/>
        </w:rPr>
        <w:t>505A Howard Street</w:t>
      </w:r>
    </w:p>
    <w:p w:rsidR="00B67DD8" w:rsidRPr="00B67DD8" w:rsidP="00B67DD8" w14:paraId="12C41EAF" w14:textId="77777777">
      <w:pPr>
        <w:widowControl/>
        <w:rPr>
          <w:rFonts w:ascii="Arial" w:hAnsi="Arial" w:eastAsiaTheme="minorHAnsi" w:cs="Arial"/>
          <w:snapToGrid/>
          <w:sz w:val="23"/>
          <w:szCs w:val="22"/>
        </w:rPr>
      </w:pPr>
      <w:r w:rsidRPr="00B67DD8">
        <w:rPr>
          <w:rFonts w:ascii="Arial" w:hAnsi="Arial" w:eastAsiaTheme="minorHAnsi" w:cs="Arial"/>
          <w:snapToGrid/>
          <w:sz w:val="23"/>
          <w:szCs w:val="22"/>
        </w:rPr>
        <w:t>Riverton, New Jersey 08077</w:t>
      </w:r>
    </w:p>
    <w:p w:rsidR="00B67DD8" w:rsidRPr="00B67DD8" w:rsidP="00B67DD8" w14:paraId="08D9E244" w14:textId="77777777">
      <w:pPr>
        <w:widowControl/>
        <w:rPr>
          <w:rFonts w:ascii="Arial" w:hAnsi="Arial" w:eastAsiaTheme="minorHAnsi" w:cs="Arial"/>
          <w:snapToGrid/>
          <w:sz w:val="23"/>
          <w:szCs w:val="22"/>
        </w:rPr>
      </w:pPr>
    </w:p>
    <w:p w:rsidR="00B67DD8" w:rsidRPr="00B67DD8" w:rsidP="00B67DD8" w14:paraId="29C9F125" w14:textId="77777777">
      <w:pPr>
        <w:widowControl/>
        <w:suppressAutoHyphens/>
        <w:jc w:val="both"/>
        <w:rPr>
          <w:rFonts w:ascii="Arial" w:hAnsi="Arial" w:eastAsiaTheme="minorHAnsi" w:cs="Arial"/>
          <w:snapToGrid/>
          <w:sz w:val="23"/>
          <w:szCs w:val="22"/>
        </w:rPr>
      </w:pPr>
      <w:r w:rsidRPr="00B67DD8">
        <w:rPr>
          <w:rFonts w:ascii="Arial" w:hAnsi="Arial" w:eastAsiaTheme="minorHAnsi" w:cs="Arial"/>
          <w:snapToGrid/>
          <w:sz w:val="23"/>
          <w:szCs w:val="22"/>
        </w:rPr>
        <w:t>Wilentz, Goldman &amp; Spitzer, P.A.</w:t>
      </w:r>
    </w:p>
    <w:p w:rsidR="00B67DD8" w:rsidRPr="00B67DD8" w:rsidP="00B67DD8" w14:paraId="4334D2E3" w14:textId="77777777">
      <w:pPr>
        <w:widowControl/>
        <w:suppressAutoHyphens/>
        <w:jc w:val="both"/>
        <w:rPr>
          <w:rFonts w:ascii="Arial" w:hAnsi="Arial" w:eastAsiaTheme="minorHAnsi" w:cs="Arial"/>
          <w:snapToGrid/>
          <w:sz w:val="23"/>
          <w:szCs w:val="22"/>
        </w:rPr>
      </w:pPr>
      <w:r w:rsidRPr="00B67DD8">
        <w:rPr>
          <w:rFonts w:ascii="Arial" w:hAnsi="Arial" w:eastAsiaTheme="minorHAnsi" w:cs="Arial"/>
          <w:snapToGrid/>
          <w:sz w:val="23"/>
          <w:szCs w:val="22"/>
        </w:rPr>
        <w:t>90 Woodbridge Center Drive</w:t>
      </w:r>
    </w:p>
    <w:p w:rsidR="00B67DD8" w:rsidRPr="00B67DD8" w:rsidP="00B67DD8" w14:paraId="5C8B1C04" w14:textId="77777777">
      <w:pPr>
        <w:widowControl/>
        <w:suppressAutoHyphens/>
        <w:jc w:val="both"/>
        <w:rPr>
          <w:rFonts w:ascii="Arial" w:hAnsi="Arial" w:eastAsiaTheme="minorHAnsi" w:cs="Arial"/>
          <w:snapToGrid/>
          <w:sz w:val="23"/>
          <w:szCs w:val="22"/>
        </w:rPr>
      </w:pPr>
      <w:r w:rsidRPr="00B67DD8">
        <w:rPr>
          <w:rFonts w:ascii="Arial" w:hAnsi="Arial" w:eastAsiaTheme="minorHAnsi" w:cs="Arial"/>
          <w:snapToGrid/>
          <w:sz w:val="23"/>
          <w:szCs w:val="22"/>
        </w:rPr>
        <w:t>Woodbridge, New Jersey 07095</w:t>
      </w:r>
    </w:p>
    <w:p w:rsidR="00B67DD8" w:rsidRPr="00B67DD8" w:rsidP="00B67DD8" w14:paraId="5FBE9F37" w14:textId="77777777">
      <w:pPr>
        <w:widowControl/>
        <w:rPr>
          <w:rFonts w:ascii="Arial" w:hAnsi="Arial" w:eastAsiaTheme="minorHAnsi" w:cs="Arial"/>
          <w:snapToGrid/>
          <w:sz w:val="23"/>
          <w:szCs w:val="22"/>
        </w:rPr>
      </w:pPr>
    </w:p>
    <w:p w:rsidR="00B67DD8" w:rsidRPr="00B67DD8" w:rsidP="00B67DD8" w14:paraId="2EEEF20C" w14:textId="77777777">
      <w:pPr>
        <w:widowControl/>
        <w:rPr>
          <w:rFonts w:ascii="Arial" w:hAnsi="Arial" w:eastAsiaTheme="minorHAnsi" w:cs="Arial"/>
          <w:snapToGrid/>
          <w:sz w:val="23"/>
          <w:szCs w:val="22"/>
        </w:rPr>
      </w:pPr>
    </w:p>
    <w:p w:rsidR="00B67DD8" w:rsidRPr="00B67DD8" w:rsidP="00B67DD8" w14:paraId="1FC893DF" w14:textId="77777777">
      <w:pPr>
        <w:widowControl/>
        <w:ind w:left="360" w:right="720"/>
        <w:rPr>
          <w:rFonts w:ascii="Arial" w:hAnsi="Arial" w:cs="Arial"/>
          <w:snapToGrid/>
          <w:sz w:val="23"/>
          <w:szCs w:val="24"/>
        </w:rPr>
      </w:pPr>
      <w:r w:rsidRPr="00B67DD8">
        <w:rPr>
          <w:rFonts w:ascii="Arial" w:hAnsi="Arial" w:cs="Arial"/>
          <w:snapToGrid/>
          <w:sz w:val="23"/>
          <w:szCs w:val="24"/>
        </w:rPr>
        <w:tab/>
        <w:t>Re:</w:t>
      </w:r>
      <w:r w:rsidRPr="00B67DD8">
        <w:rPr>
          <w:rFonts w:ascii="Arial" w:hAnsi="Arial" w:cs="Arial"/>
          <w:snapToGrid/>
          <w:sz w:val="23"/>
          <w:szCs w:val="24"/>
        </w:rPr>
        <w:tab/>
        <w:t>Borough of Riverton, in the County of Burlington, State of New Jersey</w:t>
      </w:r>
    </w:p>
    <w:p w:rsidR="00B67DD8" w:rsidRPr="00B67DD8" w:rsidP="00B67DD8" w14:paraId="6CDD9FDC" w14:textId="77777777">
      <w:pPr>
        <w:widowControl/>
        <w:ind w:left="360" w:right="720"/>
        <w:rPr>
          <w:rFonts w:ascii="Arial" w:hAnsi="Arial" w:cs="Arial"/>
          <w:snapToGrid/>
          <w:sz w:val="23"/>
          <w:szCs w:val="24"/>
        </w:rPr>
      </w:pPr>
      <w:r w:rsidRPr="00B67DD8">
        <w:rPr>
          <w:rFonts w:ascii="Arial" w:hAnsi="Arial" w:cs="Arial"/>
          <w:snapToGrid/>
          <w:sz w:val="23"/>
          <w:szCs w:val="24"/>
        </w:rPr>
        <w:tab/>
      </w:r>
      <w:r w:rsidRPr="00B67DD8">
        <w:rPr>
          <w:rFonts w:ascii="Arial" w:hAnsi="Arial" w:cs="Arial"/>
          <w:snapToGrid/>
          <w:sz w:val="23"/>
          <w:szCs w:val="24"/>
        </w:rPr>
        <w:tab/>
        <w:t>$2,342,000* General Obligation Bonds, Series 2026</w:t>
      </w:r>
    </w:p>
    <w:p w:rsidR="00B67DD8" w:rsidRPr="00B67DD8" w:rsidP="00B67DD8" w14:paraId="0D4AB090" w14:textId="77777777">
      <w:pPr>
        <w:widowControl/>
        <w:rPr>
          <w:rFonts w:ascii="Arial" w:hAnsi="Arial" w:eastAsiaTheme="minorHAnsi" w:cs="Arial"/>
          <w:snapToGrid/>
          <w:sz w:val="23"/>
          <w:szCs w:val="22"/>
        </w:rPr>
      </w:pPr>
    </w:p>
    <w:p w:rsidR="00B67DD8" w:rsidRPr="00B67DD8" w:rsidP="00B67DD8" w14:paraId="05643EAF" w14:textId="77777777">
      <w:pPr>
        <w:widowControl/>
        <w:rPr>
          <w:rFonts w:ascii="Arial" w:hAnsi="Arial" w:eastAsiaTheme="minorHAnsi" w:cs="Arial"/>
          <w:snapToGrid/>
          <w:sz w:val="23"/>
          <w:szCs w:val="22"/>
        </w:rPr>
      </w:pPr>
    </w:p>
    <w:p w:rsidR="00B67DD8" w:rsidRPr="00B67DD8" w:rsidP="00B67DD8" w14:paraId="71C5862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Theme="minorHAnsi" w:cs="Arial"/>
          <w:snapToGrid/>
          <w:sz w:val="23"/>
          <w:szCs w:val="22"/>
        </w:rPr>
      </w:pPr>
      <w:r w:rsidRPr="00B67DD8">
        <w:rPr>
          <w:rFonts w:ascii="Arial" w:hAnsi="Arial" w:eastAsiaTheme="minorHAnsi" w:cs="Arial"/>
          <w:snapToGrid/>
          <w:sz w:val="23"/>
          <w:szCs w:val="22"/>
        </w:rPr>
        <w:t>Ladies and Gentlemen:</w:t>
      </w:r>
    </w:p>
    <w:p w:rsidR="00B67DD8" w:rsidRPr="00B67DD8" w:rsidP="00B67DD8" w14:paraId="41B88A6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Theme="minorHAnsi" w:cs="Arial"/>
          <w:snapToGrid/>
          <w:sz w:val="23"/>
          <w:szCs w:val="22"/>
        </w:rPr>
      </w:pPr>
    </w:p>
    <w:p w:rsidR="00B67DD8" w:rsidRPr="00B67DD8" w:rsidP="00B67DD8" w14:paraId="5FA2F54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eastAsiaTheme="minorHAnsi" w:cs="Arial"/>
          <w:snapToGrid/>
          <w:sz w:val="23"/>
          <w:szCs w:val="22"/>
        </w:rPr>
      </w:pPr>
      <w:r w:rsidRPr="00B67DD8">
        <w:rPr>
          <w:rFonts w:ascii="Arial" w:hAnsi="Arial" w:eastAsiaTheme="minorHAnsi" w:cs="Arial"/>
          <w:snapToGrid/>
          <w:sz w:val="23"/>
          <w:szCs w:val="22"/>
        </w:rPr>
        <w:t>The undersigned, as a representative of _______________, the Underwriter (the “Underwriter”) of the $2,342,000* aggregate principal amount of General Obligation Bonds, Series 2026 (the “Bonds”), sold on the Sale Date (as hereinafter defined), dated and issued on the date hereof, of the Borough of Riverton, in the County of Burlington, State of New Jersey (the “Issuer” or the “Borough”), hereby certifies as follows:</w:t>
      </w:r>
    </w:p>
    <w:p w:rsidR="00B67DD8" w:rsidRPr="00B67DD8" w:rsidP="00B67DD8" w14:paraId="09A8666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eastAsiaTheme="minorHAnsi" w:cs="Arial"/>
          <w:snapToGrid/>
          <w:sz w:val="23"/>
          <w:szCs w:val="22"/>
        </w:rPr>
      </w:pPr>
    </w:p>
    <w:p w:rsidR="00B67DD8" w:rsidRPr="00B67DD8" w:rsidP="00B67DD8" w14:paraId="1C6E684C" w14:textId="77777777">
      <w:pPr>
        <w:widowControl/>
        <w:jc w:val="both"/>
        <w:rPr>
          <w:rFonts w:ascii="Arial" w:hAnsi="Arial" w:eastAsiaTheme="minorHAnsi" w:cs="Arial"/>
          <w:b/>
          <w:i/>
          <w:snapToGrid/>
          <w:sz w:val="23"/>
          <w:szCs w:val="22"/>
        </w:rPr>
      </w:pPr>
      <w:r w:rsidRPr="00B67DD8">
        <w:rPr>
          <w:rFonts w:ascii="Arial" w:hAnsi="Arial" w:eastAsiaTheme="minorHAnsi" w:cs="Arial"/>
          <w:snapToGrid/>
          <w:sz w:val="23"/>
          <w:szCs w:val="22"/>
        </w:rPr>
        <w:t>[1.</w:t>
      </w:r>
      <w:r w:rsidRPr="00B67DD8">
        <w:rPr>
          <w:rFonts w:ascii="Arial" w:hAnsi="Arial" w:eastAsiaTheme="minorHAnsi" w:cs="Arial"/>
          <w:snapToGrid/>
          <w:sz w:val="23"/>
          <w:szCs w:val="22"/>
        </w:rPr>
        <w:tab/>
        <w:t xml:space="preserve">[Alternate 1 – </w:t>
      </w:r>
      <w:r w:rsidRPr="00B67DD8">
        <w:rPr>
          <w:rFonts w:ascii="Arial" w:hAnsi="Arial" w:eastAsiaTheme="minorHAnsi" w:cs="Arial"/>
          <w:b/>
          <w:i/>
          <w:snapToGrid/>
          <w:sz w:val="23"/>
          <w:szCs w:val="22"/>
        </w:rPr>
        <w:t>Bids Received From at Least 3 Underwriters and Release of 10% Rule]</w:t>
      </w:r>
    </w:p>
    <w:p w:rsidR="00B67DD8" w:rsidRPr="00B67DD8" w:rsidP="00B67DD8" w14:paraId="52A3F962" w14:textId="77777777">
      <w:pPr>
        <w:widowControl/>
        <w:ind w:firstLine="720"/>
        <w:jc w:val="both"/>
        <w:rPr>
          <w:rFonts w:ascii="Arial" w:hAnsi="Arial" w:eastAsiaTheme="minorHAnsi" w:cs="Arial"/>
          <w:snapToGrid/>
          <w:sz w:val="23"/>
          <w:szCs w:val="22"/>
        </w:rPr>
      </w:pPr>
    </w:p>
    <w:p w:rsidR="00B67DD8" w:rsidRPr="00B67DD8" w:rsidP="00B67DD8" w14:paraId="77A31344" w14:textId="77777777">
      <w:pPr>
        <w:widowControl/>
        <w:ind w:firstLine="720"/>
        <w:jc w:val="both"/>
        <w:rPr>
          <w:rFonts w:ascii="Arial" w:hAnsi="Arial" w:eastAsiaTheme="minorHAnsi" w:cs="Arial"/>
          <w:snapToGrid/>
          <w:sz w:val="23"/>
          <w:szCs w:val="22"/>
        </w:rPr>
      </w:pPr>
      <w:r w:rsidRPr="00B67DD8">
        <w:rPr>
          <w:rFonts w:ascii="Arial" w:hAnsi="Arial" w:eastAsiaTheme="minorHAnsi" w:cs="Arial"/>
          <w:snapToGrid/>
          <w:sz w:val="23"/>
          <w:szCs w:val="22"/>
        </w:rPr>
        <w:t>(a)</w:t>
      </w:r>
      <w:r w:rsidRPr="00B67DD8">
        <w:rPr>
          <w:rFonts w:ascii="Arial" w:hAnsi="Arial" w:eastAsiaTheme="minorHAnsi" w:cs="Arial"/>
          <w:snapToGrid/>
          <w:sz w:val="23"/>
          <w:szCs w:val="22"/>
        </w:rPr>
        <w:tab/>
        <w:t xml:space="preserve">As of the Sale Date, the reasonably expected initial offering prices of the Bonds to the Public by the undersigned are the prices listed in </w:t>
      </w:r>
      <w:r w:rsidRPr="00B67DD8">
        <w:rPr>
          <w:rFonts w:ascii="Arial" w:hAnsi="Arial" w:eastAsiaTheme="minorHAnsi" w:cs="Arial"/>
          <w:snapToGrid/>
          <w:sz w:val="23"/>
          <w:szCs w:val="22"/>
          <w:u w:val="single"/>
        </w:rPr>
        <w:t>Exhibit A</w:t>
      </w:r>
      <w:r w:rsidRPr="00B67DD8">
        <w:rPr>
          <w:rFonts w:ascii="Arial" w:hAnsi="Arial" w:eastAsiaTheme="minorHAnsi" w:cs="Arial"/>
          <w:snapToGrid/>
          <w:sz w:val="23"/>
          <w:szCs w:val="22"/>
        </w:rPr>
        <w:t xml:space="preserve"> (the “Expected Offering Prices”). The Expected Offering Prices are the prices for the Maturities of the Bonds used by the undersigned in formulating its bid to purchase the Bonds. </w:t>
      </w:r>
    </w:p>
    <w:p w:rsidR="00B67DD8" w:rsidRPr="00B67DD8" w:rsidP="00B67DD8" w14:paraId="462722C5" w14:textId="77777777">
      <w:pPr>
        <w:widowControl/>
        <w:ind w:firstLine="720"/>
        <w:jc w:val="both"/>
        <w:rPr>
          <w:rFonts w:ascii="Arial" w:hAnsi="Arial" w:eastAsiaTheme="minorHAnsi" w:cs="Arial"/>
          <w:snapToGrid/>
          <w:sz w:val="23"/>
          <w:szCs w:val="22"/>
        </w:rPr>
      </w:pPr>
    </w:p>
    <w:p w:rsidR="00B67DD8" w:rsidRPr="00B67DD8" w:rsidP="00B67DD8" w14:paraId="666DBE33" w14:textId="77777777">
      <w:pPr>
        <w:widowControl/>
        <w:ind w:firstLine="720"/>
        <w:jc w:val="both"/>
        <w:rPr>
          <w:rFonts w:ascii="Arial" w:hAnsi="Arial" w:eastAsiaTheme="minorHAnsi" w:cs="Arial"/>
          <w:snapToGrid/>
          <w:sz w:val="23"/>
          <w:szCs w:val="22"/>
        </w:rPr>
      </w:pPr>
      <w:r w:rsidRPr="00B67DD8">
        <w:rPr>
          <w:rFonts w:ascii="Arial" w:hAnsi="Arial" w:eastAsiaTheme="minorHAnsi" w:cs="Arial"/>
          <w:snapToGrid/>
          <w:sz w:val="23"/>
          <w:szCs w:val="22"/>
        </w:rPr>
        <w:t>(b)</w:t>
      </w:r>
      <w:r w:rsidRPr="00B67DD8">
        <w:rPr>
          <w:rFonts w:ascii="Arial" w:hAnsi="Arial" w:eastAsiaTheme="minorHAnsi" w:cs="Arial"/>
          <w:snapToGrid/>
          <w:sz w:val="23"/>
          <w:szCs w:val="22"/>
        </w:rPr>
        <w:tab/>
        <w:t>The undersigned was not given the opportunity to review other bids prior to submitting its bid.</w:t>
      </w:r>
    </w:p>
    <w:p w:rsidR="00B67DD8" w:rsidRPr="00B67DD8" w:rsidP="00B67DD8" w14:paraId="1B26942E" w14:textId="77777777">
      <w:pPr>
        <w:widowControl/>
        <w:ind w:firstLine="720"/>
        <w:jc w:val="both"/>
        <w:rPr>
          <w:rFonts w:ascii="Arial" w:hAnsi="Arial" w:eastAsiaTheme="minorHAnsi" w:cs="Arial"/>
          <w:snapToGrid/>
          <w:sz w:val="23"/>
          <w:szCs w:val="22"/>
        </w:rPr>
      </w:pPr>
    </w:p>
    <w:p w:rsidR="00B67DD8" w:rsidP="00B67DD8" w14:paraId="0384B2F1" w14:textId="14D180F3">
      <w:pPr>
        <w:widowControl/>
        <w:ind w:firstLine="720"/>
        <w:jc w:val="both"/>
        <w:rPr>
          <w:rFonts w:ascii="Arial" w:hAnsi="Arial" w:eastAsiaTheme="minorHAnsi" w:cs="Arial"/>
          <w:snapToGrid/>
          <w:sz w:val="23"/>
          <w:szCs w:val="22"/>
        </w:rPr>
      </w:pPr>
      <w:r w:rsidRPr="00B67DD8">
        <w:rPr>
          <w:rFonts w:ascii="Arial" w:hAnsi="Arial" w:eastAsiaTheme="minorHAnsi" w:cs="Arial"/>
          <w:snapToGrid/>
          <w:sz w:val="23"/>
          <w:szCs w:val="22"/>
        </w:rPr>
        <w:t>(c)</w:t>
      </w:r>
      <w:r w:rsidRPr="00B67DD8">
        <w:rPr>
          <w:rFonts w:ascii="Arial" w:hAnsi="Arial" w:eastAsiaTheme="minorHAnsi" w:cs="Arial"/>
          <w:snapToGrid/>
          <w:sz w:val="23"/>
          <w:szCs w:val="22"/>
        </w:rPr>
        <w:tab/>
        <w:t>The bid submitted by the undersigned constituted a firm offer to purchase the Bonds.</w:t>
      </w:r>
    </w:p>
    <w:p w:rsidR="00B67DD8" w:rsidRPr="00B67DD8" w:rsidP="00B67DD8" w14:paraId="6422FE95" w14:textId="77777777">
      <w:pPr>
        <w:widowControl/>
        <w:ind w:firstLine="720"/>
        <w:jc w:val="both"/>
        <w:rPr>
          <w:rFonts w:ascii="Arial" w:hAnsi="Arial" w:eastAsiaTheme="minorHAnsi" w:cs="Arial"/>
          <w:snapToGrid/>
          <w:sz w:val="23"/>
          <w:szCs w:val="22"/>
        </w:rPr>
      </w:pPr>
    </w:p>
    <w:p w:rsidR="00B67DD8" w:rsidRPr="00B67DD8" w:rsidP="00B67DD8" w14:paraId="5650DBCE" w14:textId="77777777">
      <w:pPr>
        <w:widowControl/>
        <w:jc w:val="both"/>
        <w:rPr>
          <w:rFonts w:ascii="Arial" w:hAnsi="Arial" w:eastAsiaTheme="minorHAnsi" w:cs="Arial"/>
          <w:snapToGrid/>
          <w:sz w:val="18"/>
          <w:szCs w:val="16"/>
        </w:rPr>
      </w:pPr>
      <w:r w:rsidRPr="00B67DD8">
        <w:rPr>
          <w:rFonts w:ascii="Arial" w:hAnsi="Arial" w:eastAsiaTheme="minorHAnsi" w:cs="Arial"/>
          <w:snapToGrid/>
          <w:sz w:val="18"/>
          <w:szCs w:val="16"/>
        </w:rPr>
        <w:t>_______________________________</w:t>
      </w:r>
    </w:p>
    <w:p w:rsidR="00B67DD8" w:rsidRPr="00B67DD8" w:rsidP="00B67DD8" w14:paraId="770D419A" w14:textId="77777777">
      <w:pPr>
        <w:widowControl/>
        <w:jc w:val="both"/>
        <w:rPr>
          <w:rFonts w:ascii="Arial" w:hAnsi="Arial" w:eastAsiaTheme="minorHAnsi" w:cs="Arial"/>
          <w:snapToGrid/>
          <w:sz w:val="18"/>
          <w:szCs w:val="16"/>
        </w:rPr>
      </w:pPr>
      <w:r w:rsidRPr="00B67DD8">
        <w:rPr>
          <w:rFonts w:ascii="Arial" w:hAnsi="Arial" w:eastAsiaTheme="minorHAnsi" w:cs="Arial"/>
          <w:snapToGrid/>
          <w:sz w:val="18"/>
          <w:szCs w:val="16"/>
        </w:rPr>
        <w:t>* Preliminary, subject to change</w:t>
      </w:r>
    </w:p>
    <w:p w:rsidR="00B67DD8" w:rsidRPr="00B67DD8" w:rsidP="00B67DD8" w14:paraId="4B66AD49" w14:textId="77777777">
      <w:pPr>
        <w:widowControl/>
        <w:ind w:firstLine="720"/>
        <w:jc w:val="both"/>
        <w:rPr>
          <w:rFonts w:ascii="Arial" w:hAnsi="Arial" w:eastAsiaTheme="minorHAnsi" w:cs="Arial"/>
          <w:snapToGrid/>
          <w:sz w:val="23"/>
          <w:szCs w:val="22"/>
        </w:rPr>
      </w:pPr>
      <w:r w:rsidRPr="00B67DD8">
        <w:rPr>
          <w:rFonts w:ascii="Arial" w:hAnsi="Arial" w:eastAsiaTheme="minorHAnsi" w:cs="Arial"/>
          <w:snapToGrid/>
          <w:sz w:val="23"/>
          <w:szCs w:val="22"/>
        </w:rPr>
        <w:t>(d)</w:t>
      </w:r>
      <w:r w:rsidRPr="00B67DD8">
        <w:rPr>
          <w:rFonts w:ascii="Arial" w:hAnsi="Arial" w:eastAsiaTheme="minorHAnsi" w:cs="Arial"/>
          <w:snapToGrid/>
          <w:sz w:val="23"/>
          <w:szCs w:val="22"/>
        </w:rPr>
        <w:tab/>
        <w:t>Based on the Expected Offering Prices, the aggregate offering prices of the Bonds to the Public is $_________ (face amount of $_________, plus original issue premium of $______).]</w:t>
      </w:r>
    </w:p>
    <w:p w:rsidR="00B67DD8" w:rsidRPr="00B67DD8" w:rsidP="00B67DD8" w14:paraId="3D12B604" w14:textId="77777777">
      <w:pPr>
        <w:widowControl/>
        <w:ind w:firstLine="720"/>
        <w:jc w:val="both"/>
        <w:rPr>
          <w:rFonts w:ascii="Arial" w:hAnsi="Arial" w:eastAsiaTheme="minorHAnsi" w:cs="Arial"/>
          <w:snapToGrid/>
          <w:sz w:val="23"/>
          <w:szCs w:val="22"/>
        </w:rPr>
      </w:pPr>
    </w:p>
    <w:p w:rsidR="00B67DD8" w:rsidRPr="00B67DD8" w:rsidP="00B67DD8" w14:paraId="11DD91E5"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[1.</w:t>
      </w:r>
      <w:r w:rsidRPr="00B67DD8">
        <w:rPr>
          <w:rFonts w:ascii="Arial" w:hAnsi="Arial" w:eastAsiaTheme="minorHAnsi" w:cs="Arial"/>
          <w:snapToGrid/>
          <w:sz w:val="23"/>
          <w:szCs w:val="22"/>
        </w:rPr>
        <w:tab/>
        <w:t xml:space="preserve">[Alternate 2 – </w:t>
      </w:r>
      <w:r w:rsidRPr="00B67DD8">
        <w:rPr>
          <w:rFonts w:ascii="Arial" w:hAnsi="Arial" w:eastAsiaTheme="minorHAnsi" w:cs="Arial"/>
          <w:b/>
          <w:i/>
          <w:snapToGrid/>
          <w:sz w:val="23"/>
          <w:szCs w:val="22"/>
        </w:rPr>
        <w:t xml:space="preserve">Competitive Sale Requirements not satisfied - Actual sale of at least 10% of Bonds by closing]  </w:t>
      </w:r>
      <w:r w:rsidRPr="00B67DD8">
        <w:rPr>
          <w:rFonts w:ascii="Arial" w:hAnsi="Arial" w:eastAsiaTheme="minorHAnsi" w:cs="Arial"/>
          <w:snapToGrid/>
          <w:sz w:val="23"/>
          <w:szCs w:val="22"/>
        </w:rPr>
        <w:t xml:space="preserve">As of the date of this certificate, for each Maturity of the Bonds, the first price at which at least 10% of such Maturity of the Bonds was sold to the Public are the respective prices listed in </w:t>
      </w:r>
      <w:r w:rsidRPr="00B67DD8">
        <w:rPr>
          <w:rFonts w:ascii="Arial" w:hAnsi="Arial" w:eastAsiaTheme="minorHAnsi" w:cs="Arial"/>
          <w:snapToGrid/>
          <w:sz w:val="23"/>
          <w:szCs w:val="22"/>
          <w:u w:val="single"/>
        </w:rPr>
        <w:t>Exhibit A</w:t>
      </w:r>
      <w:r w:rsidRPr="00B67DD8">
        <w:rPr>
          <w:rFonts w:ascii="Arial" w:hAnsi="Arial" w:eastAsiaTheme="minorHAnsi" w:cs="Arial"/>
          <w:snapToGrid/>
          <w:sz w:val="23"/>
          <w:szCs w:val="22"/>
        </w:rPr>
        <w:t xml:space="preserve"> (collectively, the “Offering Prices”).  Based on the Offering Prices, the aggregate Offering Prices of the Bonds to the Public is $_________ (face amount of $_____________, plus original issue premium of $______).]</w:t>
      </w:r>
    </w:p>
    <w:p w:rsidR="00B67DD8" w:rsidRPr="00B67DD8" w:rsidP="00B67DD8" w14:paraId="7C32BAE1" w14:textId="77777777">
      <w:pPr>
        <w:widowControl/>
        <w:autoSpaceDE w:val="0"/>
        <w:autoSpaceDN w:val="0"/>
        <w:adjustRightInd w:val="0"/>
        <w:jc w:val="both"/>
        <w:rPr>
          <w:rFonts w:ascii="Arial" w:hAnsi="Arial" w:eastAsiaTheme="minorHAnsi" w:cs="Arial"/>
          <w:snapToGrid/>
          <w:sz w:val="23"/>
          <w:szCs w:val="22"/>
        </w:rPr>
      </w:pPr>
    </w:p>
    <w:p w:rsidR="00B67DD8" w:rsidRPr="00B67DD8" w:rsidP="00B67DD8" w14:paraId="41384EE3" w14:textId="77777777">
      <w:pPr>
        <w:widowControl/>
        <w:autoSpaceDE w:val="0"/>
        <w:autoSpaceDN w:val="0"/>
        <w:adjustRightInd w:val="0"/>
        <w:jc w:val="both"/>
        <w:rPr>
          <w:rFonts w:ascii="Arial" w:hAnsi="Arial" w:eastAsiaTheme="minorHAnsi" w:cs="Arial"/>
          <w:snapToGrid/>
          <w:sz w:val="23"/>
          <w:szCs w:val="24"/>
        </w:rPr>
      </w:pPr>
      <w:r w:rsidRPr="00B67DD8">
        <w:rPr>
          <w:rFonts w:ascii="Arial" w:hAnsi="Arial" w:eastAsiaTheme="minorHAnsi" w:cs="Arial"/>
          <w:snapToGrid/>
          <w:sz w:val="23"/>
          <w:szCs w:val="22"/>
        </w:rPr>
        <w:t>[1.</w:t>
      </w:r>
      <w:r w:rsidRPr="00B67DD8">
        <w:rPr>
          <w:rFonts w:ascii="Arial" w:hAnsi="Arial" w:eastAsiaTheme="minorHAnsi" w:cs="Arial"/>
          <w:snapToGrid/>
          <w:sz w:val="23"/>
          <w:szCs w:val="22"/>
        </w:rPr>
        <w:tab/>
        <w:t>[</w:t>
      </w:r>
      <w:r w:rsidRPr="00B67DD8">
        <w:rPr>
          <w:rFonts w:ascii="Arial" w:hAnsi="Arial" w:eastAsiaTheme="minorHAnsi" w:cs="Arial"/>
          <w:b/>
          <w:i/>
          <w:snapToGrid/>
          <w:sz w:val="23"/>
          <w:szCs w:val="22"/>
        </w:rPr>
        <w:t>Hold-the-Price language]</w:t>
      </w:r>
      <w:r w:rsidRPr="00B67DD8">
        <w:rPr>
          <w:rFonts w:ascii="Arial" w:hAnsi="Arial" w:eastAsiaTheme="minorHAnsi" w:cs="Arial"/>
          <w:snapToGrid/>
          <w:sz w:val="23"/>
          <w:szCs w:val="22"/>
        </w:rPr>
        <w:t xml:space="preserve">  As of the Sale Date, the Underwriter offered the Bonds to the Public for purchase at the respective Offering Prices listed in </w:t>
      </w:r>
      <w:r w:rsidRPr="00B67DD8">
        <w:rPr>
          <w:rFonts w:ascii="Arial" w:hAnsi="Arial" w:eastAsiaTheme="minorHAnsi" w:cs="Arial"/>
          <w:snapToGrid/>
          <w:sz w:val="23"/>
          <w:szCs w:val="22"/>
          <w:u w:val="single"/>
        </w:rPr>
        <w:t>Exhibit A</w:t>
      </w:r>
      <w:r w:rsidRPr="00B67DD8">
        <w:rPr>
          <w:rFonts w:ascii="Arial" w:hAnsi="Arial" w:eastAsiaTheme="minorHAnsi" w:cs="Arial"/>
          <w:snapToGrid/>
          <w:sz w:val="23"/>
          <w:szCs w:val="22"/>
        </w:rPr>
        <w:t xml:space="preserve">.  The Underwriter agrees that (i) for each Maturity of Bonds, it will neither offer nor sell any of the Bonds of such Maturity to any person at a price that is higher than the Offering Price listed in </w:t>
      </w:r>
      <w:r w:rsidRPr="00B67DD8">
        <w:rPr>
          <w:rFonts w:ascii="Arial" w:hAnsi="Arial" w:eastAsiaTheme="minorHAnsi" w:cs="Arial"/>
          <w:snapToGrid/>
          <w:sz w:val="23"/>
          <w:szCs w:val="22"/>
          <w:u w:val="single"/>
        </w:rPr>
        <w:t>Exhibit A</w:t>
      </w:r>
      <w:r w:rsidRPr="00B67DD8">
        <w:rPr>
          <w:rFonts w:ascii="Arial" w:hAnsi="Arial" w:eastAsiaTheme="minorHAnsi" w:cs="Arial"/>
          <w:snapToGrid/>
          <w:sz w:val="23"/>
          <w:szCs w:val="22"/>
        </w:rPr>
        <w:t xml:space="preserve"> for such Maturity during the Holding Period for such Maturity (the “Hold-The-Offering-Price Rule”), and (ii) any selling group agreement shall contain the agreement of each dealer who is a member of the selling group, and any retail distribution agreement shall contain the agreement of each broker-dealer who is a party to the retail distribution agreement, to comply with the Hold-The-Offering-Price Rule.  Pursuant to such agreement, no Underwriter has offered or sold any Maturity of Bonds at a price that is higher than the respective Offering Price for that Maturity of the Bonds for the Holding Period.]</w:t>
      </w:r>
    </w:p>
    <w:p w:rsidR="00B67DD8" w:rsidRPr="00B67DD8" w:rsidP="00B67DD8" w14:paraId="28372BC4" w14:textId="77777777">
      <w:pPr>
        <w:widowControl/>
        <w:jc w:val="both"/>
        <w:rPr>
          <w:rFonts w:ascii="Arial" w:hAnsi="Arial" w:eastAsiaTheme="minorHAnsi" w:cs="Arial"/>
          <w:snapToGrid/>
          <w:sz w:val="23"/>
          <w:szCs w:val="22"/>
        </w:rPr>
      </w:pPr>
    </w:p>
    <w:p w:rsidR="00B67DD8" w:rsidRPr="00B67DD8" w:rsidP="00B67DD8" w14:paraId="6796B4C0"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2.</w:t>
      </w:r>
      <w:r w:rsidRPr="00B67DD8">
        <w:rPr>
          <w:rFonts w:ascii="Arial" w:hAnsi="Arial" w:eastAsiaTheme="minorHAnsi" w:cs="Arial"/>
          <w:snapToGrid/>
          <w:sz w:val="23"/>
          <w:szCs w:val="22"/>
        </w:rPr>
        <w:tab/>
        <w:t>The Yield on the Bonds is not less than ____%.</w:t>
      </w:r>
    </w:p>
    <w:p w:rsidR="00B67DD8" w:rsidRPr="00B67DD8" w:rsidP="00B67DD8" w14:paraId="1BA10C95" w14:textId="77777777">
      <w:pPr>
        <w:widowControl/>
        <w:jc w:val="both"/>
        <w:rPr>
          <w:rFonts w:ascii="Arial" w:hAnsi="Arial" w:eastAsiaTheme="minorHAnsi" w:cs="Arial"/>
          <w:snapToGrid/>
          <w:sz w:val="23"/>
          <w:szCs w:val="22"/>
        </w:rPr>
      </w:pPr>
    </w:p>
    <w:p w:rsidR="00B67DD8" w:rsidRPr="00B67DD8" w:rsidP="00B67DD8" w14:paraId="0C6C7A03"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3.</w:t>
      </w:r>
      <w:r w:rsidRPr="00B67DD8">
        <w:rPr>
          <w:rFonts w:ascii="Arial" w:hAnsi="Arial" w:eastAsiaTheme="minorHAnsi" w:cs="Arial"/>
          <w:snapToGrid/>
          <w:sz w:val="23"/>
          <w:szCs w:val="22"/>
        </w:rPr>
        <w:tab/>
        <w:t>The weighted average maturity of the Bonds is _____.</w:t>
      </w:r>
    </w:p>
    <w:p w:rsidR="00B67DD8" w:rsidRPr="00B67DD8" w:rsidP="00B67DD8" w14:paraId="38917C50" w14:textId="77777777">
      <w:pPr>
        <w:widowControl/>
        <w:jc w:val="both"/>
        <w:rPr>
          <w:rFonts w:ascii="Arial" w:hAnsi="Arial" w:eastAsiaTheme="minorHAnsi" w:cs="Arial"/>
          <w:snapToGrid/>
          <w:sz w:val="23"/>
          <w:szCs w:val="22"/>
        </w:rPr>
      </w:pPr>
    </w:p>
    <w:p w:rsidR="00B67DD8" w:rsidRPr="00B67DD8" w:rsidP="00B67DD8" w14:paraId="405ADDE2"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4.</w:t>
      </w:r>
      <w:r w:rsidRPr="00B67DD8">
        <w:rPr>
          <w:rFonts w:ascii="Arial" w:hAnsi="Arial" w:eastAsiaTheme="minorHAnsi" w:cs="Arial"/>
          <w:snapToGrid/>
          <w:sz w:val="23"/>
          <w:szCs w:val="22"/>
        </w:rPr>
        <w:tab/>
      </w:r>
      <w:r w:rsidRPr="00B67DD8">
        <w:rPr>
          <w:rFonts w:ascii="Arial" w:hAnsi="Arial" w:eastAsiaTheme="minorHAnsi" w:cs="Arial"/>
          <w:b/>
          <w:i/>
          <w:snapToGrid/>
          <w:sz w:val="23"/>
          <w:szCs w:val="22"/>
        </w:rPr>
        <w:t>Defined Terms</w:t>
      </w:r>
      <w:r w:rsidRPr="00B67DD8">
        <w:rPr>
          <w:rFonts w:ascii="Arial" w:hAnsi="Arial" w:eastAsiaTheme="minorHAnsi" w:cs="Arial"/>
          <w:b/>
          <w:snapToGrid/>
          <w:sz w:val="23"/>
          <w:szCs w:val="22"/>
        </w:rPr>
        <w:t xml:space="preserve">.  </w:t>
      </w:r>
      <w:r w:rsidRPr="00B67DD8">
        <w:rPr>
          <w:rFonts w:ascii="Arial" w:hAnsi="Arial" w:eastAsiaTheme="minorHAnsi" w:cs="Arial"/>
          <w:snapToGrid/>
          <w:sz w:val="23"/>
          <w:szCs w:val="22"/>
        </w:rPr>
        <w:t xml:space="preserve">In addition to the terms defined above, the following </w:t>
      </w:r>
      <w:r w:rsidRPr="00B67DD8">
        <w:rPr>
          <w:rFonts w:ascii="Arial" w:hAnsi="Arial" w:eastAsiaTheme="minorHAnsi" w:cs="Arial"/>
          <w:snapToGrid/>
          <w:sz w:val="23"/>
          <w:szCs w:val="24"/>
        </w:rPr>
        <w:t xml:space="preserve">terms </w:t>
      </w:r>
      <w:r w:rsidRPr="00B67DD8">
        <w:rPr>
          <w:rFonts w:ascii="Arial" w:hAnsi="Arial" w:eastAsiaTheme="minorHAnsi" w:cs="Arial"/>
          <w:snapToGrid/>
          <w:sz w:val="23"/>
          <w:szCs w:val="22"/>
        </w:rPr>
        <w:t xml:space="preserve">used herein </w:t>
      </w:r>
      <w:r w:rsidRPr="00B67DD8">
        <w:rPr>
          <w:rFonts w:ascii="Arial" w:hAnsi="Arial" w:eastAsiaTheme="minorHAnsi" w:cs="Arial"/>
          <w:snapToGrid/>
          <w:sz w:val="23"/>
          <w:szCs w:val="24"/>
        </w:rPr>
        <w:t>shall have the meanings there</w:t>
      </w:r>
      <w:r w:rsidRPr="00B67DD8">
        <w:rPr>
          <w:rFonts w:ascii="Arial" w:hAnsi="Arial" w:eastAsiaTheme="minorHAnsi" w:cs="Arial"/>
          <w:snapToGrid/>
          <w:sz w:val="23"/>
          <w:szCs w:val="22"/>
        </w:rPr>
        <w:t xml:space="preserve">for </w:t>
      </w:r>
      <w:r w:rsidRPr="00B67DD8">
        <w:rPr>
          <w:rFonts w:ascii="Arial" w:hAnsi="Arial" w:eastAsiaTheme="minorHAnsi" w:cs="Arial"/>
          <w:snapToGrid/>
          <w:sz w:val="23"/>
          <w:szCs w:val="24"/>
        </w:rPr>
        <w:t>set forth</w:t>
      </w:r>
      <w:r w:rsidRPr="00B67DD8">
        <w:rPr>
          <w:rFonts w:ascii="Arial" w:hAnsi="Arial" w:eastAsiaTheme="minorHAnsi" w:cs="Arial"/>
          <w:snapToGrid/>
          <w:sz w:val="23"/>
          <w:szCs w:val="22"/>
        </w:rPr>
        <w:t xml:space="preserve"> below:</w:t>
      </w:r>
    </w:p>
    <w:p w:rsidR="00B67DD8" w:rsidRPr="00B67DD8" w:rsidP="00B67DD8" w14:paraId="78FEF240" w14:textId="77777777">
      <w:pPr>
        <w:widowControl/>
        <w:jc w:val="both"/>
        <w:rPr>
          <w:rFonts w:ascii="Arial" w:hAnsi="Arial" w:eastAsiaTheme="minorHAnsi" w:cs="Arial"/>
          <w:snapToGrid/>
          <w:sz w:val="23"/>
          <w:szCs w:val="22"/>
        </w:rPr>
      </w:pPr>
    </w:p>
    <w:p w:rsidR="00B67DD8" w:rsidRPr="00B67DD8" w:rsidP="00B67DD8" w14:paraId="67A08892"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ab/>
        <w:t>[(a)</w:t>
      </w:r>
      <w:r w:rsidRPr="00B67DD8">
        <w:rPr>
          <w:rFonts w:ascii="Arial" w:hAnsi="Arial" w:eastAsiaTheme="minorHAnsi" w:cs="Arial"/>
          <w:snapToGrid/>
          <w:sz w:val="23"/>
          <w:szCs w:val="22"/>
        </w:rPr>
        <w:tab/>
        <w:t>“</w:t>
      </w:r>
      <w:r w:rsidRPr="00B67DD8">
        <w:rPr>
          <w:rFonts w:ascii="Arial" w:hAnsi="Arial" w:eastAsiaTheme="minorHAnsi" w:cs="Arial"/>
          <w:iCs/>
          <w:snapToGrid/>
          <w:sz w:val="23"/>
          <w:szCs w:val="22"/>
        </w:rPr>
        <w:t>Holding Period”</w:t>
      </w:r>
      <w:r w:rsidRPr="00B67DD8">
        <w:rPr>
          <w:rFonts w:ascii="Arial" w:hAnsi="Arial" w:eastAsiaTheme="minorHAnsi" w:cs="Arial"/>
          <w:i/>
          <w:iCs/>
          <w:snapToGrid/>
          <w:sz w:val="23"/>
          <w:szCs w:val="22"/>
        </w:rPr>
        <w:t xml:space="preserve"> </w:t>
      </w:r>
      <w:r w:rsidRPr="00B67DD8">
        <w:rPr>
          <w:rFonts w:ascii="Arial" w:hAnsi="Arial" w:eastAsiaTheme="minorHAnsi" w:cs="Arial"/>
          <w:snapToGrid/>
          <w:sz w:val="23"/>
          <w:szCs w:val="22"/>
        </w:rPr>
        <w:t>means for each Maturity of the Bonds, the period starting on the Sale Date and ending on the earlier of (i) the close of the fifth business day after the Sale Date, or (ii) the date on which the Underwriter has sold at least 10% of such Maturity of the Bonds to the Public at prices that are no higher than the Offering Price for such Maturity.]</w:t>
      </w:r>
    </w:p>
    <w:p w:rsidR="00B67DD8" w:rsidRPr="00B67DD8" w:rsidP="00B67DD8" w14:paraId="14A424AE" w14:textId="77777777">
      <w:pPr>
        <w:widowControl/>
        <w:ind w:firstLine="720"/>
        <w:jc w:val="both"/>
        <w:rPr>
          <w:rFonts w:ascii="Arial" w:hAnsi="Arial" w:eastAsiaTheme="minorHAnsi" w:cs="Arial"/>
          <w:snapToGrid/>
          <w:sz w:val="23"/>
          <w:szCs w:val="22"/>
        </w:rPr>
      </w:pPr>
    </w:p>
    <w:p w:rsidR="00B67DD8" w:rsidRPr="00B67DD8" w:rsidP="00B67DD8" w14:paraId="781FE04E" w14:textId="77777777">
      <w:pPr>
        <w:widowControl/>
        <w:ind w:firstLine="720"/>
        <w:jc w:val="both"/>
        <w:rPr>
          <w:rFonts w:ascii="Arial" w:hAnsi="Arial" w:eastAsiaTheme="minorHAnsi" w:cs="Arial"/>
          <w:snapToGrid/>
          <w:sz w:val="23"/>
          <w:szCs w:val="22"/>
        </w:rPr>
      </w:pPr>
      <w:r w:rsidRPr="00B67DD8">
        <w:rPr>
          <w:rFonts w:ascii="Arial" w:hAnsi="Arial" w:eastAsiaTheme="minorHAnsi" w:cs="Arial"/>
          <w:snapToGrid/>
          <w:sz w:val="23"/>
          <w:szCs w:val="22"/>
        </w:rPr>
        <w:t>(b)</w:t>
      </w:r>
      <w:r w:rsidRPr="00B67DD8">
        <w:rPr>
          <w:rFonts w:ascii="Arial" w:hAnsi="Arial" w:eastAsiaTheme="minorHAnsi" w:cs="Arial"/>
          <w:snapToGrid/>
          <w:sz w:val="23"/>
          <w:szCs w:val="22"/>
        </w:rPr>
        <w:tab/>
        <w:t>“</w:t>
      </w:r>
      <w:r w:rsidRPr="00B67DD8">
        <w:rPr>
          <w:rFonts w:ascii="Arial" w:hAnsi="Arial" w:eastAsiaTheme="minorHAnsi" w:cs="Arial"/>
          <w:iCs/>
          <w:snapToGrid/>
          <w:sz w:val="23"/>
          <w:szCs w:val="22"/>
        </w:rPr>
        <w:t>Maturity”</w:t>
      </w:r>
      <w:r w:rsidRPr="00B67DD8">
        <w:rPr>
          <w:rFonts w:ascii="Arial" w:hAnsi="Arial" w:eastAsiaTheme="minorHAnsi" w:cs="Arial"/>
          <w:i/>
          <w:iCs/>
          <w:snapToGrid/>
          <w:sz w:val="23"/>
          <w:szCs w:val="22"/>
        </w:rPr>
        <w:t xml:space="preserve"> </w:t>
      </w:r>
      <w:r w:rsidRPr="00B67DD8">
        <w:rPr>
          <w:rFonts w:ascii="Arial" w:hAnsi="Arial" w:eastAsiaTheme="minorHAnsi" w:cs="Arial"/>
          <w:snapToGrid/>
          <w:sz w:val="23"/>
          <w:szCs w:val="22"/>
        </w:rPr>
        <w:t>means Bonds with the same credit and payment terms.  Bonds with different maturity dates, or Bonds with the same maturity date but different stated interest rates, are treated as separate Maturities.</w:t>
      </w:r>
    </w:p>
    <w:p w:rsidR="00B67DD8" w:rsidRPr="00B67DD8" w:rsidP="00B67DD8" w14:paraId="79ECF9E8" w14:textId="77777777">
      <w:pPr>
        <w:widowControl/>
        <w:jc w:val="both"/>
        <w:rPr>
          <w:rFonts w:ascii="Arial" w:hAnsi="Arial" w:eastAsiaTheme="minorHAnsi" w:cs="Arial"/>
          <w:snapToGrid/>
          <w:sz w:val="23"/>
          <w:szCs w:val="22"/>
        </w:rPr>
      </w:pPr>
    </w:p>
    <w:p w:rsidR="00B67DD8" w:rsidRPr="00B67DD8" w:rsidP="00B67DD8" w14:paraId="133C36F0"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ab/>
        <w:t>(c)</w:t>
      </w:r>
      <w:r w:rsidRPr="00B67DD8">
        <w:rPr>
          <w:rFonts w:ascii="Arial" w:hAnsi="Arial" w:eastAsiaTheme="minorHAnsi" w:cs="Arial"/>
          <w:snapToGrid/>
          <w:sz w:val="23"/>
          <w:szCs w:val="22"/>
        </w:rPr>
        <w:tab/>
        <w:t>“Public” means any person (including an individual, trust, estate, partnership, association, company, or corporation) other than an Underwriter or a related party to an Underwriter.  The term “related party” for purposes of this certificate generally means any two or more persons who have greater than fifty percent (50%) common ownership, directly or indirectly.</w:t>
      </w:r>
    </w:p>
    <w:p w:rsidR="00B67DD8" w:rsidRPr="00B67DD8" w:rsidP="00B67DD8" w14:paraId="08146032" w14:textId="77777777">
      <w:pPr>
        <w:widowControl/>
        <w:jc w:val="both"/>
        <w:rPr>
          <w:rFonts w:ascii="Arial" w:hAnsi="Arial" w:eastAsiaTheme="minorHAnsi" w:cs="Arial"/>
          <w:snapToGrid/>
          <w:sz w:val="23"/>
          <w:szCs w:val="22"/>
        </w:rPr>
      </w:pPr>
    </w:p>
    <w:p w:rsidR="00B67DD8" w:rsidRPr="00B67DD8" w:rsidP="00B67DD8" w14:paraId="10BB0AD3"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ab/>
        <w:t>(d)</w:t>
      </w:r>
      <w:r w:rsidRPr="00B67DD8">
        <w:rPr>
          <w:rFonts w:ascii="Arial" w:hAnsi="Arial" w:eastAsiaTheme="minorHAnsi" w:cs="Arial"/>
          <w:snapToGrid/>
          <w:sz w:val="23"/>
          <w:szCs w:val="22"/>
        </w:rPr>
        <w:tab/>
        <w:t>“Sale Date” means the first day on which there is a binding contract in writing for the sale of a Maturity of Bonds.  The Sale Date of the Bonds is July 7, 2026.</w:t>
      </w:r>
    </w:p>
    <w:p w:rsidR="00B67DD8" w:rsidRPr="00B67DD8" w:rsidP="00B67DD8" w14:paraId="729AFE04" w14:textId="77777777">
      <w:pPr>
        <w:widowControl/>
        <w:jc w:val="both"/>
        <w:rPr>
          <w:rFonts w:ascii="Arial" w:hAnsi="Arial" w:eastAsiaTheme="minorHAnsi" w:cs="Arial"/>
          <w:snapToGrid/>
          <w:sz w:val="23"/>
          <w:szCs w:val="22"/>
        </w:rPr>
      </w:pPr>
    </w:p>
    <w:p w:rsidR="00B67DD8" w:rsidRPr="00B67DD8" w:rsidP="00B67DD8" w14:paraId="3F0FD697"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ab/>
        <w:t>(e)</w:t>
      </w:r>
      <w:r w:rsidRPr="00B67DD8">
        <w:rPr>
          <w:rFonts w:ascii="Arial" w:hAnsi="Arial" w:eastAsiaTheme="minorHAnsi" w:cs="Arial"/>
          <w:snapToGrid/>
          <w:sz w:val="23"/>
          <w:szCs w:val="22"/>
        </w:rPr>
        <w:tab/>
        <w:t>“Underwriter” means (i) any person that agrees pursuant to a written contract with the Issuer (or with the lead underwriter to form an underwriting syndicate) to participate in the initial sale of the Bonds to the Public, and (ii) any person that agrees pursuant to a written contract directly or indirectly with a person described in clause (i) of this paragraph to participate in the initial sale of the Bonds to the Public (including a member of a selling group or a party to a retail distribution agreement participating in the initial sale of the Bonds to the Public).</w:t>
      </w:r>
    </w:p>
    <w:p w:rsidR="00B67DD8" w:rsidRPr="00B67DD8" w:rsidP="00B67DD8" w14:paraId="5DA83180" w14:textId="77777777">
      <w:pPr>
        <w:widowControl/>
        <w:jc w:val="both"/>
        <w:rPr>
          <w:rFonts w:ascii="Arial" w:hAnsi="Arial" w:eastAsiaTheme="minorHAnsi" w:cs="Arial"/>
          <w:snapToGrid/>
          <w:sz w:val="23"/>
          <w:szCs w:val="22"/>
        </w:rPr>
      </w:pPr>
    </w:p>
    <w:p w:rsidR="00B67DD8" w:rsidRPr="00B67DD8" w:rsidP="00B67DD8" w14:paraId="187FE2C1"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ab/>
        <w:t>(f)</w:t>
      </w:r>
      <w:r w:rsidRPr="00B67DD8">
        <w:rPr>
          <w:rFonts w:ascii="Arial" w:hAnsi="Arial" w:eastAsiaTheme="minorHAnsi" w:cs="Arial"/>
          <w:snapToGrid/>
          <w:sz w:val="23"/>
          <w:szCs w:val="22"/>
        </w:rPr>
        <w:tab/>
        <w:t>“Yield” means the discount rate which, when used in computing the present value of the expected issue payments (principal and interest components, qualified guarantee payments, and the retirement price) to be paid on the Bonds, produces an amount equal to the issue price of the Bonds as of the date hereof.</w:t>
      </w:r>
    </w:p>
    <w:p w:rsidR="00B67DD8" w:rsidRPr="00B67DD8" w:rsidP="00B67DD8" w14:paraId="7D2AC520" w14:textId="77777777">
      <w:pPr>
        <w:widowControl/>
        <w:jc w:val="both"/>
        <w:rPr>
          <w:rFonts w:ascii="Arial" w:hAnsi="Arial" w:eastAsiaTheme="minorHAnsi" w:cs="Arial"/>
          <w:snapToGrid/>
          <w:sz w:val="23"/>
          <w:szCs w:val="22"/>
        </w:rPr>
      </w:pPr>
    </w:p>
    <w:p w:rsidR="00B67DD8" w:rsidRPr="00B67DD8" w:rsidP="00B67DD8" w14:paraId="6CD9539C" w14:textId="77777777">
      <w:pPr>
        <w:widowControl/>
        <w:jc w:val="both"/>
        <w:rPr>
          <w:rFonts w:ascii="Arial" w:hAnsi="Arial" w:eastAsiaTheme="minorHAnsi" w:cs="Arial"/>
          <w:snapToGrid/>
          <w:sz w:val="23"/>
          <w:szCs w:val="22"/>
        </w:rPr>
      </w:pPr>
      <w:r w:rsidRPr="00B67DD8">
        <w:rPr>
          <w:rFonts w:ascii="Arial" w:hAnsi="Arial" w:eastAsiaTheme="minorHAnsi" w:cs="Arial"/>
          <w:snapToGrid/>
          <w:sz w:val="23"/>
          <w:szCs w:val="22"/>
        </w:rPr>
        <w:tab/>
        <w:t>The representations set forth in this certificate are limited to factual matters only.  Nothing in this certificate represents the undersigned’s interpretation of any laws, including specifically Sections 103 and 148 of the Internal Revenue Code of 1986, as amended, and the Treasury Regulations thereunder.  The undersigned understands that the foregoing information will be relied upon by the Issuer with respect to compliance with the federal income tax rules affecting the Bonds, and by bond counsel in connection with rendering its opinion that the interest on the Bonds is excluded from gross income for federal income tax purposes, the preparation of the Internal Revenue Service Form 8038-G, and other federal income tax advice that it may give to the Issuer from time to time relating to the Bonds.</w:t>
      </w:r>
    </w:p>
    <w:p w:rsidR="00B67DD8" w:rsidRPr="00B67DD8" w:rsidP="00B67DD8" w14:paraId="68697298" w14:textId="77777777">
      <w:pPr>
        <w:widowControl/>
        <w:jc w:val="both"/>
        <w:rPr>
          <w:rFonts w:ascii="Arial" w:hAnsi="Arial" w:eastAsiaTheme="minorHAnsi" w:cs="Arial"/>
          <w:snapToGrid/>
          <w:sz w:val="23"/>
          <w:szCs w:val="22"/>
        </w:rPr>
      </w:pPr>
    </w:p>
    <w:p w:rsidR="00B67DD8" w:rsidRPr="00B67DD8" w:rsidP="00B67DD8" w14:paraId="305E12DA" w14:textId="77777777">
      <w:pPr>
        <w:widowControl/>
        <w:jc w:val="both"/>
        <w:rPr>
          <w:rFonts w:ascii="Arial" w:hAnsi="Arial" w:eastAsiaTheme="minorHAnsi" w:cs="Arial"/>
          <w:snapToGrid/>
          <w:sz w:val="23"/>
          <w:szCs w:val="22"/>
        </w:rPr>
      </w:pPr>
    </w:p>
    <w:p w:rsidR="00B67DD8" w:rsidRPr="00B67DD8" w:rsidP="00B67DD8" w14:paraId="240602AC" w14:textId="77777777">
      <w:pPr>
        <w:widowControl/>
        <w:tabs>
          <w:tab w:val="left" w:pos="5040"/>
          <w:tab w:val="right" w:pos="9360"/>
        </w:tabs>
        <w:rPr>
          <w:rFonts w:ascii="Arial" w:hAnsi="Arial" w:eastAsiaTheme="minorHAnsi" w:cs="Arial"/>
          <w:snapToGrid/>
          <w:sz w:val="23"/>
          <w:szCs w:val="22"/>
        </w:rPr>
      </w:pPr>
      <w:r w:rsidRPr="00B67DD8">
        <w:rPr>
          <w:rFonts w:ascii="Arial" w:hAnsi="Arial" w:eastAsiaTheme="minorHAnsi" w:cs="Arial"/>
          <w:snapToGrid/>
          <w:sz w:val="23"/>
          <w:szCs w:val="22"/>
        </w:rPr>
        <w:tab/>
        <w:t>Very truly yours,</w:t>
      </w:r>
    </w:p>
    <w:p w:rsidR="00B67DD8" w:rsidRPr="00B67DD8" w:rsidP="00B67DD8" w14:paraId="15A15348" w14:textId="77777777">
      <w:pPr>
        <w:widowControl/>
        <w:jc w:val="both"/>
        <w:rPr>
          <w:rFonts w:ascii="Arial" w:hAnsi="Arial" w:eastAsiaTheme="minorHAnsi" w:cs="Arial"/>
          <w:snapToGrid/>
          <w:sz w:val="23"/>
          <w:szCs w:val="22"/>
        </w:rPr>
      </w:pPr>
    </w:p>
    <w:p w:rsidR="00B67DD8" w:rsidRPr="00B67DD8" w:rsidP="00B67DD8" w14:paraId="6904BFFB" w14:textId="77777777">
      <w:pPr>
        <w:widowControl/>
        <w:tabs>
          <w:tab w:val="left" w:pos="5040"/>
          <w:tab w:val="right" w:pos="9360"/>
        </w:tabs>
        <w:rPr>
          <w:rFonts w:ascii="Arial" w:hAnsi="Arial" w:eastAsiaTheme="minorHAnsi" w:cs="Arial"/>
          <w:snapToGrid/>
          <w:sz w:val="23"/>
          <w:szCs w:val="22"/>
        </w:rPr>
      </w:pPr>
      <w:r w:rsidRPr="00B67DD8">
        <w:rPr>
          <w:rFonts w:ascii="Arial" w:hAnsi="Arial" w:eastAsiaTheme="minorHAnsi" w:cs="Arial"/>
          <w:snapToGrid/>
          <w:sz w:val="23"/>
          <w:szCs w:val="22"/>
        </w:rPr>
        <w:tab/>
        <w:t>__________________ [UNDERWRITER]</w:t>
      </w:r>
    </w:p>
    <w:p w:rsidR="00B67DD8" w:rsidRPr="00B67DD8" w:rsidP="00B67DD8" w14:paraId="7645DD51" w14:textId="77777777">
      <w:pPr>
        <w:widowControl/>
        <w:tabs>
          <w:tab w:val="left" w:pos="5040"/>
          <w:tab w:val="right" w:pos="9360"/>
        </w:tabs>
        <w:rPr>
          <w:rFonts w:ascii="Arial" w:hAnsi="Arial" w:eastAsiaTheme="minorHAnsi" w:cs="Arial"/>
          <w:snapToGrid/>
          <w:sz w:val="23"/>
          <w:szCs w:val="22"/>
        </w:rPr>
      </w:pPr>
    </w:p>
    <w:p w:rsidR="00B67DD8" w:rsidRPr="00B67DD8" w:rsidP="00B67DD8" w14:paraId="71486429" w14:textId="77777777">
      <w:pPr>
        <w:widowControl/>
        <w:tabs>
          <w:tab w:val="left" w:pos="5040"/>
          <w:tab w:val="right" w:pos="9360"/>
        </w:tabs>
        <w:rPr>
          <w:rFonts w:ascii="Arial" w:hAnsi="Arial" w:eastAsiaTheme="minorHAnsi" w:cs="Arial"/>
          <w:snapToGrid/>
          <w:sz w:val="23"/>
          <w:szCs w:val="22"/>
        </w:rPr>
      </w:pPr>
    </w:p>
    <w:p w:rsidR="00B67DD8" w:rsidRPr="00B67DD8" w:rsidP="00B67DD8" w14:paraId="01375CEE" w14:textId="77777777">
      <w:pPr>
        <w:widowControl/>
        <w:tabs>
          <w:tab w:val="left" w:pos="5040"/>
          <w:tab w:val="right" w:pos="9360"/>
        </w:tabs>
        <w:rPr>
          <w:rFonts w:ascii="Arial" w:hAnsi="Arial" w:eastAsiaTheme="minorHAnsi" w:cs="Arial"/>
          <w:snapToGrid/>
          <w:sz w:val="23"/>
          <w:szCs w:val="22"/>
          <w:u w:val="single"/>
        </w:rPr>
      </w:pPr>
      <w:r w:rsidRPr="00B67DD8">
        <w:rPr>
          <w:rFonts w:ascii="Arial" w:hAnsi="Arial" w:eastAsiaTheme="minorHAnsi" w:cs="Arial"/>
          <w:snapToGrid/>
          <w:sz w:val="23"/>
          <w:szCs w:val="22"/>
        </w:rPr>
        <w:tab/>
        <w:t xml:space="preserve">By: </w:t>
      </w:r>
      <w:r w:rsidRPr="00B67DD8">
        <w:rPr>
          <w:rFonts w:ascii="Arial" w:hAnsi="Arial" w:eastAsiaTheme="minorHAnsi" w:cs="Arial"/>
          <w:snapToGrid/>
          <w:sz w:val="23"/>
          <w:szCs w:val="22"/>
          <w:u w:val="single"/>
        </w:rPr>
        <w:tab/>
      </w:r>
    </w:p>
    <w:p w:rsidR="00B67DD8" w:rsidRPr="00B67DD8" w:rsidP="00B67DD8" w14:paraId="43F4B675" w14:textId="77777777">
      <w:pPr>
        <w:widowControl/>
        <w:tabs>
          <w:tab w:val="left" w:pos="5040"/>
          <w:tab w:val="right" w:pos="9360"/>
        </w:tabs>
        <w:rPr>
          <w:rFonts w:ascii="Arial" w:hAnsi="Arial" w:eastAsiaTheme="minorHAnsi" w:cs="Arial"/>
          <w:snapToGrid/>
          <w:sz w:val="23"/>
          <w:szCs w:val="22"/>
          <w:u w:val="single"/>
        </w:rPr>
      </w:pPr>
      <w:r w:rsidRPr="00B67DD8">
        <w:rPr>
          <w:rFonts w:ascii="Arial" w:hAnsi="Arial" w:eastAsiaTheme="minorHAnsi" w:cs="Arial"/>
          <w:snapToGrid/>
          <w:sz w:val="23"/>
          <w:szCs w:val="22"/>
        </w:rPr>
        <w:tab/>
        <w:t xml:space="preserve">Name: </w:t>
      </w:r>
      <w:r w:rsidRPr="00B67DD8">
        <w:rPr>
          <w:rFonts w:ascii="Arial" w:hAnsi="Arial" w:eastAsiaTheme="minorHAnsi" w:cs="Arial"/>
          <w:snapToGrid/>
          <w:sz w:val="23"/>
          <w:szCs w:val="22"/>
          <w:u w:val="single"/>
        </w:rPr>
        <w:tab/>
      </w:r>
    </w:p>
    <w:p w:rsidR="00B67DD8" w:rsidRPr="00B67DD8" w:rsidP="00B67DD8" w14:paraId="1E086F7D" w14:textId="77777777">
      <w:pPr>
        <w:widowControl/>
        <w:tabs>
          <w:tab w:val="left" w:pos="5040"/>
          <w:tab w:val="right" w:pos="9360"/>
        </w:tabs>
        <w:rPr>
          <w:rFonts w:ascii="Arial" w:hAnsi="Arial" w:eastAsiaTheme="minorHAnsi" w:cs="Arial"/>
          <w:snapToGrid/>
          <w:sz w:val="23"/>
          <w:szCs w:val="22"/>
          <w:u w:val="single"/>
        </w:rPr>
      </w:pPr>
      <w:r w:rsidRPr="00B67DD8">
        <w:rPr>
          <w:rFonts w:ascii="Arial" w:hAnsi="Arial" w:eastAsiaTheme="minorHAnsi" w:cs="Arial"/>
          <w:snapToGrid/>
          <w:sz w:val="23"/>
          <w:szCs w:val="22"/>
        </w:rPr>
        <w:tab/>
        <w:t xml:space="preserve">Title: </w:t>
      </w:r>
      <w:r w:rsidRPr="00B67DD8">
        <w:rPr>
          <w:rFonts w:ascii="Arial" w:hAnsi="Arial" w:eastAsiaTheme="minorHAnsi" w:cs="Arial"/>
          <w:snapToGrid/>
          <w:sz w:val="23"/>
          <w:szCs w:val="22"/>
          <w:u w:val="single"/>
        </w:rPr>
        <w:tab/>
      </w:r>
    </w:p>
    <w:p w:rsidR="002A1EEA" w:rsidRPr="00D232E6" w:rsidP="00D232E6" w14:paraId="3B8C7399" w14:textId="77777777"/>
    <w:sectPr w:rsidSect="00D232E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B00" w14:paraId="1EBDEA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DD8" w:rsidRPr="00A2403D" w:rsidP="00A2403D" w14:paraId="518B500E" w14:textId="0755C72E">
    <w:pPr>
      <w:jc w:val="center"/>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B00" w14:paraId="1E68AE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49C" w14:paraId="05E2D60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49C" w14:paraId="355D544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49C" w14:paraId="6DC875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02EB" w:rsidP="009775D3" w14:paraId="30FCA301" w14:textId="77777777">
      <w:r>
        <w:separator/>
      </w:r>
    </w:p>
  </w:footnote>
  <w:footnote w:type="continuationSeparator" w:id="1">
    <w:p w:rsidR="004002EB" w:rsidP="009775D3" w14:paraId="73D15674" w14:textId="77777777">
      <w:r>
        <w:continuationSeparator/>
      </w:r>
    </w:p>
  </w:footnote>
  <w:footnote w:id="2">
    <w:p w:rsidR="00B67DD8" w:rsidRPr="00B67DD8" w:rsidP="00B67DD8" w14:paraId="44A9CA34" w14:textId="77777777">
      <w:pPr>
        <w:pStyle w:val="FootnoteText"/>
        <w:rPr>
          <w:rFonts w:ascii="Arial" w:hAnsi="Arial" w:cs="Arial"/>
          <w:sz w:val="22"/>
          <w:szCs w:val="22"/>
        </w:rPr>
      </w:pPr>
      <w:r w:rsidRPr="00B67DD8">
        <w:rPr>
          <w:rStyle w:val="FootnoteReference"/>
          <w:rFonts w:ascii="Symbol" w:hAnsi="Symbol"/>
          <w:sz w:val="22"/>
          <w:szCs w:val="22"/>
        </w:rPr>
        <w:sym w:font="Symbol" w:char="F02A"/>
      </w:r>
      <w:r w:rsidRPr="00B67DD8">
        <w:rPr>
          <w:sz w:val="22"/>
          <w:szCs w:val="22"/>
        </w:rPr>
        <w:t xml:space="preserve"> </w:t>
      </w:r>
      <w:r w:rsidRPr="00B67DD8">
        <w:rPr>
          <w:rFonts w:ascii="Arial" w:hAnsi="Arial" w:cs="Arial"/>
          <w:sz w:val="18"/>
          <w:szCs w:val="18"/>
        </w:rPr>
        <w:t>Preliminary, subject to change as described herein.</w:t>
      </w:r>
    </w:p>
  </w:footnote>
  <w:footnote w:id="3">
    <w:p w:rsidR="00B67DD8" w:rsidRPr="00F62C1E" w:rsidP="00B67DD8" w14:paraId="40BF04C8" w14:textId="77777777">
      <w:pPr>
        <w:pStyle w:val="FootnoteText"/>
        <w:rPr>
          <w:rFonts w:ascii="Arial" w:hAnsi="Arial" w:cs="Arial"/>
        </w:rPr>
      </w:pPr>
      <w:r w:rsidRPr="00BB5E03">
        <w:rPr>
          <w:rStyle w:val="FootnoteReference"/>
          <w:rFonts w:ascii="Symbol" w:hAnsi="Symbol" w:cs="Arial"/>
          <w:sz w:val="22"/>
          <w:szCs w:val="22"/>
        </w:rPr>
        <w:sym w:font="Symbol" w:char="F02A"/>
      </w:r>
      <w:r w:rsidRPr="00F62C1E">
        <w:rPr>
          <w:rFonts w:ascii="Arial" w:hAnsi="Arial" w:cs="Arial"/>
        </w:rPr>
        <w:t xml:space="preserve"> </w:t>
      </w:r>
      <w:r w:rsidRPr="00BB5E03">
        <w:rPr>
          <w:rFonts w:ascii="Arial" w:hAnsi="Arial" w:cs="Arial"/>
          <w:sz w:val="18"/>
          <w:szCs w:val="18"/>
        </w:rPr>
        <w:t>Preliminary, subject to change as described herein.</w:t>
      </w:r>
    </w:p>
  </w:footnote>
  <w:footnote w:id="4">
    <w:p w:rsidR="00B67DD8" w:rsidRPr="00CC2EB0" w:rsidP="00B67DD8" w14:paraId="7B2748F7" w14:textId="77777777">
      <w:pPr>
        <w:pStyle w:val="FootnoteText"/>
        <w:rPr>
          <w:rFonts w:ascii="Arial" w:hAnsi="Arial" w:cs="Arial"/>
          <w:sz w:val="18"/>
          <w:szCs w:val="18"/>
        </w:rPr>
      </w:pPr>
      <w:r w:rsidRPr="00CC2EB0">
        <w:rPr>
          <w:rStyle w:val="FootnoteReference"/>
          <w:rFonts w:ascii="Arial" w:hAnsi="Arial" w:cs="Arial"/>
          <w:sz w:val="22"/>
          <w:szCs w:val="22"/>
        </w:rPr>
        <w:footnoteRef/>
      </w:r>
      <w:r w:rsidRPr="00CC2EB0">
        <w:rPr>
          <w:rFonts w:ascii="Arial" w:hAnsi="Arial" w:cs="Arial"/>
          <w:sz w:val="22"/>
          <w:szCs w:val="22"/>
        </w:rPr>
        <w:t xml:space="preserve"> </w:t>
      </w:r>
      <w:r w:rsidRPr="00CC2EB0">
        <w:rPr>
          <w:rFonts w:ascii="Arial" w:hAnsi="Arial" w:cs="Arial"/>
          <w:sz w:val="18"/>
          <w:szCs w:val="18"/>
        </w:rPr>
        <w:t>Preliminary, subject to change as described herein</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B00" w14:paraId="3847B3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B00" w14:paraId="6B62D8C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B00" w14:paraId="19D8A26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49C" w14:paraId="478D1DF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49C" w14:paraId="578C8A7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49C" w14:paraId="5FC45A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3E061A"/>
    <w:multiLevelType w:val="multilevel"/>
    <w:tmpl w:val="BA8E9400"/>
    <w:lvl w:ilvl="0">
      <w:start w:val="3"/>
      <w:numFmt w:val="decimal"/>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none"/>
      <w:lvlJc w:val="left"/>
      <w:pPr>
        <w:tabs>
          <w:tab w:val="num" w:pos="0"/>
        </w:tabs>
        <w:ind w:left="0" w:firstLine="0"/>
      </w:pPr>
      <w:rPr>
        <w:rFonts w:hint="default"/>
      </w:rPr>
    </w:lvl>
  </w:abstractNum>
  <w:num w:numId="1" w16cid:durableId="14813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visionView w:comments="1" w:formatting="1" w:inkAnnotations="0" w:insDel="1" w:markup="1"/>
  <w:defaultTabStop w:val="720"/>
  <w:characterSpacingControl w:val="doNotCompress"/>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D3"/>
    <w:rsid w:val="000054A0"/>
    <w:rsid w:val="00063271"/>
    <w:rsid w:val="00072EE5"/>
    <w:rsid w:val="00087B20"/>
    <w:rsid w:val="000A08DD"/>
    <w:rsid w:val="000B4117"/>
    <w:rsid w:val="000B6DC5"/>
    <w:rsid w:val="000D0B42"/>
    <w:rsid w:val="001046D6"/>
    <w:rsid w:val="00127A2C"/>
    <w:rsid w:val="001705AF"/>
    <w:rsid w:val="00192A05"/>
    <w:rsid w:val="001943A3"/>
    <w:rsid w:val="001C01EF"/>
    <w:rsid w:val="001C2415"/>
    <w:rsid w:val="00210FD0"/>
    <w:rsid w:val="00256BC3"/>
    <w:rsid w:val="00295ED0"/>
    <w:rsid w:val="002A1EEA"/>
    <w:rsid w:val="002B25A2"/>
    <w:rsid w:val="002D649C"/>
    <w:rsid w:val="00313BC0"/>
    <w:rsid w:val="00316C81"/>
    <w:rsid w:val="0033594F"/>
    <w:rsid w:val="00364E9E"/>
    <w:rsid w:val="003C54AB"/>
    <w:rsid w:val="003C6A14"/>
    <w:rsid w:val="003E6903"/>
    <w:rsid w:val="004002EB"/>
    <w:rsid w:val="00456724"/>
    <w:rsid w:val="00472AE2"/>
    <w:rsid w:val="004A6E85"/>
    <w:rsid w:val="004C7D2A"/>
    <w:rsid w:val="004D234A"/>
    <w:rsid w:val="00523860"/>
    <w:rsid w:val="005601DB"/>
    <w:rsid w:val="005769D3"/>
    <w:rsid w:val="005F4944"/>
    <w:rsid w:val="006071D5"/>
    <w:rsid w:val="00607E64"/>
    <w:rsid w:val="00622CBD"/>
    <w:rsid w:val="006670EB"/>
    <w:rsid w:val="00671418"/>
    <w:rsid w:val="006C41E6"/>
    <w:rsid w:val="00721C37"/>
    <w:rsid w:val="00724640"/>
    <w:rsid w:val="007433E1"/>
    <w:rsid w:val="00743710"/>
    <w:rsid w:val="007478CF"/>
    <w:rsid w:val="00795352"/>
    <w:rsid w:val="007E2B29"/>
    <w:rsid w:val="00801618"/>
    <w:rsid w:val="008470E9"/>
    <w:rsid w:val="008805AD"/>
    <w:rsid w:val="008C6579"/>
    <w:rsid w:val="008E621D"/>
    <w:rsid w:val="0097283B"/>
    <w:rsid w:val="009775D3"/>
    <w:rsid w:val="0099747F"/>
    <w:rsid w:val="009E3987"/>
    <w:rsid w:val="00A17F5A"/>
    <w:rsid w:val="00A2403D"/>
    <w:rsid w:val="00A672E4"/>
    <w:rsid w:val="00A7010C"/>
    <w:rsid w:val="00A7174E"/>
    <w:rsid w:val="00A81BD9"/>
    <w:rsid w:val="00AB1FD7"/>
    <w:rsid w:val="00AD66DC"/>
    <w:rsid w:val="00AE6D55"/>
    <w:rsid w:val="00AE70BD"/>
    <w:rsid w:val="00AF7323"/>
    <w:rsid w:val="00B16E7C"/>
    <w:rsid w:val="00B47179"/>
    <w:rsid w:val="00B67DD8"/>
    <w:rsid w:val="00BB5E03"/>
    <w:rsid w:val="00C15085"/>
    <w:rsid w:val="00C76978"/>
    <w:rsid w:val="00C8709C"/>
    <w:rsid w:val="00C8779B"/>
    <w:rsid w:val="00C9087E"/>
    <w:rsid w:val="00CB6E6C"/>
    <w:rsid w:val="00CC2EB0"/>
    <w:rsid w:val="00CD2263"/>
    <w:rsid w:val="00D05CF2"/>
    <w:rsid w:val="00D2300A"/>
    <w:rsid w:val="00D232E6"/>
    <w:rsid w:val="00D37CEE"/>
    <w:rsid w:val="00D51CC2"/>
    <w:rsid w:val="00D674B6"/>
    <w:rsid w:val="00D71086"/>
    <w:rsid w:val="00D71DDB"/>
    <w:rsid w:val="00DB7E0D"/>
    <w:rsid w:val="00DE6BF4"/>
    <w:rsid w:val="00DF2178"/>
    <w:rsid w:val="00E02B00"/>
    <w:rsid w:val="00E55AF3"/>
    <w:rsid w:val="00E716AD"/>
    <w:rsid w:val="00E77DE4"/>
    <w:rsid w:val="00EA5ECD"/>
    <w:rsid w:val="00EC0515"/>
    <w:rsid w:val="00EC0683"/>
    <w:rsid w:val="00ED1509"/>
    <w:rsid w:val="00F035B7"/>
    <w:rsid w:val="00F04DCD"/>
    <w:rsid w:val="00F55A14"/>
    <w:rsid w:val="00F62C1E"/>
    <w:rsid w:val="00FB750F"/>
    <w:rsid w:val="00FE05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E1AB42"/>
  <w15:docId w15:val="{6D0A13D4-B94A-47CC-B9C9-30C9F6EC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5D3"/>
    <w:pPr>
      <w:widowControl w:val="0"/>
      <w:spacing w:after="0" w:line="240" w:lineRule="auto"/>
    </w:pPr>
    <w:rPr>
      <w:rFonts w:ascii="Courier" w:eastAsia="Times New Roman" w:hAnsi="Courier" w:cs="Times New Roman"/>
      <w:snapToGrid w:val="0"/>
      <w:szCs w:val="20"/>
    </w:rPr>
  </w:style>
  <w:style w:type="paragraph" w:styleId="Heading1">
    <w:name w:val="heading 1"/>
    <w:basedOn w:val="Normal"/>
    <w:next w:val="BodyText"/>
    <w:link w:val="Heading1Char"/>
    <w:qFormat/>
    <w:rsid w:val="003E6903"/>
    <w:pPr>
      <w:keepNext/>
      <w:spacing w:after="240"/>
      <w:jc w:val="center"/>
      <w:outlineLvl w:val="0"/>
    </w:pPr>
    <w:rPr>
      <w:b/>
      <w:snapToGrid/>
      <w:kern w:val="28"/>
      <w:u w:val="single"/>
    </w:rPr>
  </w:style>
  <w:style w:type="paragraph" w:styleId="Heading2">
    <w:name w:val="heading 2"/>
    <w:basedOn w:val="Normal"/>
    <w:next w:val="BodyText"/>
    <w:link w:val="Heading2Char"/>
    <w:qFormat/>
    <w:rsid w:val="003E6903"/>
    <w:pPr>
      <w:keepNext/>
      <w:spacing w:after="240"/>
      <w:ind w:left="1440" w:right="1440"/>
      <w:outlineLvl w:val="1"/>
    </w:pPr>
    <w:rPr>
      <w:b/>
      <w:snapToGrid/>
    </w:rPr>
  </w:style>
  <w:style w:type="paragraph" w:styleId="Heading3">
    <w:name w:val="heading 3"/>
    <w:basedOn w:val="Normal"/>
    <w:next w:val="BodyText"/>
    <w:link w:val="Heading3Char"/>
    <w:qFormat/>
    <w:rsid w:val="003E6903"/>
    <w:pPr>
      <w:tabs>
        <w:tab w:val="left" w:pos="1980"/>
      </w:tabs>
      <w:spacing w:after="240"/>
      <w:ind w:left="1987" w:right="720" w:hanging="547"/>
      <w:outlineLvl w:val="2"/>
    </w:pPr>
    <w:rPr>
      <w:snapToGrid/>
    </w:rPr>
  </w:style>
  <w:style w:type="paragraph" w:styleId="Heading4">
    <w:name w:val="heading 4"/>
    <w:basedOn w:val="Normal"/>
    <w:next w:val="BodyText"/>
    <w:link w:val="Heading4Char"/>
    <w:qFormat/>
    <w:rsid w:val="003E6903"/>
    <w:pPr>
      <w:tabs>
        <w:tab w:val="left" w:pos="2430"/>
      </w:tabs>
      <w:spacing w:after="240"/>
      <w:ind w:left="2433" w:right="720" w:hanging="446"/>
      <w:outlineLvl w:val="3"/>
    </w:pPr>
    <w:rPr>
      <w:snapToGrid/>
    </w:rPr>
  </w:style>
  <w:style w:type="paragraph" w:styleId="Heading6">
    <w:name w:val="heading 6"/>
    <w:basedOn w:val="Normal"/>
    <w:next w:val="Normal"/>
    <w:link w:val="Heading6Char"/>
    <w:uiPriority w:val="9"/>
    <w:semiHidden/>
    <w:unhideWhenUsed/>
    <w:qFormat/>
    <w:rsid w:val="001C2415"/>
    <w:pPr>
      <w:keepNext/>
      <w:keepLines/>
      <w:spacing w:before="40"/>
      <w:outlineLvl w:val="5"/>
    </w:pPr>
    <w:rPr>
      <w:rFonts w:asciiTheme="majorHAnsi" w:eastAsiaTheme="majorEastAsia" w:hAnsiTheme="majorHAnsi" w:cstheme="majorBid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0B4117"/>
    <w:pPr>
      <w:spacing w:after="240"/>
      <w:ind w:left="1440" w:right="1440"/>
    </w:pPr>
    <w:rPr>
      <w:snapToGrid/>
    </w:rPr>
  </w:style>
  <w:style w:type="paragraph" w:styleId="BodyText">
    <w:name w:val="Body Text"/>
    <w:basedOn w:val="Normal"/>
    <w:link w:val="BodyTextChar"/>
    <w:rsid w:val="000B4117"/>
    <w:pPr>
      <w:tabs>
        <w:tab w:val="left" w:pos="1440"/>
      </w:tabs>
      <w:spacing w:line="480" w:lineRule="auto"/>
    </w:pPr>
    <w:rPr>
      <w:snapToGrid/>
    </w:rPr>
  </w:style>
  <w:style w:type="character" w:customStyle="1" w:styleId="BodyTextChar">
    <w:name w:val="Body Text Char"/>
    <w:basedOn w:val="DefaultParagraphFont"/>
    <w:link w:val="BodyText"/>
    <w:rsid w:val="000B4117"/>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rsid w:val="003E6903"/>
    <w:rPr>
      <w:rFonts w:ascii="Times New Roman" w:eastAsia="Times New Roman" w:hAnsi="Times New Roman" w:cs="Times New Roman"/>
      <w:b/>
      <w:snapToGrid w:val="0"/>
      <w:kern w:val="28"/>
      <w:szCs w:val="20"/>
      <w:u w:val="single"/>
    </w:rPr>
  </w:style>
  <w:style w:type="character" w:customStyle="1" w:styleId="Heading2Char">
    <w:name w:val="Heading 2 Char"/>
    <w:basedOn w:val="DefaultParagraphFont"/>
    <w:link w:val="Heading2"/>
    <w:rsid w:val="003E6903"/>
    <w:rPr>
      <w:rFonts w:ascii="Times New Roman" w:eastAsia="Times New Roman" w:hAnsi="Times New Roman" w:cs="Times New Roman"/>
      <w:b/>
      <w:snapToGrid w:val="0"/>
      <w:szCs w:val="20"/>
    </w:rPr>
  </w:style>
  <w:style w:type="character" w:customStyle="1" w:styleId="Heading3Char">
    <w:name w:val="Heading 3 Char"/>
    <w:basedOn w:val="DefaultParagraphFont"/>
    <w:link w:val="Heading3"/>
    <w:rsid w:val="003E6903"/>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rsid w:val="003E6903"/>
    <w:rPr>
      <w:rFonts w:ascii="Times New Roman" w:eastAsia="Times New Roman" w:hAnsi="Times New Roman" w:cs="Times New Roman"/>
      <w:snapToGrid w:val="0"/>
      <w:szCs w:val="20"/>
    </w:rPr>
  </w:style>
  <w:style w:type="paragraph" w:styleId="Title">
    <w:name w:val="Title"/>
    <w:basedOn w:val="Normal"/>
    <w:next w:val="BodyText"/>
    <w:link w:val="TitleChar"/>
    <w:uiPriority w:val="10"/>
    <w:qFormat/>
    <w:rsid w:val="00D2300A"/>
    <w:pPr>
      <w:spacing w:after="300"/>
      <w:contextualSpacing/>
      <w:jc w:val="center"/>
    </w:pPr>
    <w:rPr>
      <w:rFonts w:ascii="Times New Roman Bold" w:hAnsi="Times New Roman Bold" w:eastAsiaTheme="majorEastAsia" w:cstheme="majorBidi"/>
      <w:b/>
      <w:color w:val="000000" w:themeColor="text2" w:themeShade="BF"/>
      <w:szCs w:val="52"/>
      <w:u w:val="single"/>
    </w:rPr>
  </w:style>
  <w:style w:type="character" w:customStyle="1" w:styleId="TitleChar">
    <w:name w:val="Title Char"/>
    <w:basedOn w:val="DefaultParagraphFont"/>
    <w:link w:val="Title"/>
    <w:uiPriority w:val="10"/>
    <w:rsid w:val="00D2300A"/>
    <w:rPr>
      <w:rFonts w:ascii="Times New Roman Bold" w:hAnsi="Times New Roman Bold" w:eastAsiaTheme="majorEastAsia" w:cstheme="majorBidi"/>
      <w:b/>
      <w:color w:val="000000" w:themeColor="text2" w:themeShade="BF"/>
      <w:szCs w:val="52"/>
      <w:u w:val="single"/>
    </w:rPr>
  </w:style>
  <w:style w:type="paragraph" w:styleId="Header">
    <w:name w:val="header"/>
    <w:basedOn w:val="Normal"/>
    <w:link w:val="HeaderChar"/>
    <w:uiPriority w:val="99"/>
    <w:unhideWhenUsed/>
    <w:rsid w:val="009775D3"/>
    <w:pPr>
      <w:tabs>
        <w:tab w:val="center" w:pos="4680"/>
        <w:tab w:val="right" w:pos="9360"/>
      </w:tabs>
    </w:pPr>
  </w:style>
  <w:style w:type="character" w:customStyle="1" w:styleId="HeaderChar">
    <w:name w:val="Header Char"/>
    <w:basedOn w:val="DefaultParagraphFont"/>
    <w:link w:val="Header"/>
    <w:uiPriority w:val="99"/>
    <w:rsid w:val="009775D3"/>
    <w:rPr>
      <w:rFonts w:ascii="Courier" w:eastAsia="Times New Roman" w:hAnsi="Courier" w:cs="Times New Roman"/>
      <w:snapToGrid w:val="0"/>
      <w:szCs w:val="20"/>
    </w:rPr>
  </w:style>
  <w:style w:type="paragraph" w:styleId="Footer">
    <w:name w:val="footer"/>
    <w:basedOn w:val="Normal"/>
    <w:link w:val="FooterChar"/>
    <w:uiPriority w:val="99"/>
    <w:unhideWhenUsed/>
    <w:rsid w:val="009775D3"/>
    <w:pPr>
      <w:tabs>
        <w:tab w:val="center" w:pos="4680"/>
        <w:tab w:val="right" w:pos="9360"/>
      </w:tabs>
    </w:pPr>
  </w:style>
  <w:style w:type="character" w:customStyle="1" w:styleId="FooterChar">
    <w:name w:val="Footer Char"/>
    <w:basedOn w:val="DefaultParagraphFont"/>
    <w:link w:val="Footer"/>
    <w:uiPriority w:val="99"/>
    <w:rsid w:val="009775D3"/>
    <w:rPr>
      <w:rFonts w:ascii="Courier" w:eastAsia="Times New Roman" w:hAnsi="Courier" w:cs="Times New Roman"/>
      <w:snapToGrid w:val="0"/>
      <w:szCs w:val="20"/>
    </w:rPr>
  </w:style>
  <w:style w:type="character" w:customStyle="1" w:styleId="DocID">
    <w:name w:val="DocID"/>
    <w:basedOn w:val="DefaultParagraphFont"/>
    <w:rsid w:val="009775D3"/>
    <w:rPr>
      <w:rFonts w:ascii="Arial" w:hAnsi="Arial" w:cs="Arial"/>
      <w:b w:val="0"/>
      <w:i w:val="0"/>
      <w:caps w:val="0"/>
      <w:vanish w:val="0"/>
      <w:color w:val="000000"/>
      <w:sz w:val="16"/>
      <w:u w:val="none"/>
    </w:rPr>
  </w:style>
  <w:style w:type="paragraph" w:styleId="BalloonText">
    <w:name w:val="Balloon Text"/>
    <w:basedOn w:val="Normal"/>
    <w:link w:val="BalloonTextChar"/>
    <w:uiPriority w:val="99"/>
    <w:semiHidden/>
    <w:unhideWhenUsed/>
    <w:rsid w:val="00E71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6AD"/>
    <w:rPr>
      <w:rFonts w:ascii="Segoe UI" w:eastAsia="Times New Roman" w:hAnsi="Segoe UI" w:cs="Segoe UI"/>
      <w:snapToGrid w:val="0"/>
      <w:sz w:val="18"/>
      <w:szCs w:val="18"/>
    </w:rPr>
  </w:style>
  <w:style w:type="character" w:styleId="Hyperlink">
    <w:name w:val="Hyperlink"/>
    <w:basedOn w:val="DefaultParagraphFont"/>
    <w:unhideWhenUsed/>
    <w:rsid w:val="00C9087E"/>
    <w:rPr>
      <w:color w:val="0000FF" w:themeColor="hyperlink"/>
      <w:u w:val="single"/>
    </w:rPr>
  </w:style>
  <w:style w:type="character" w:styleId="UnresolvedMention">
    <w:name w:val="Unresolved Mention"/>
    <w:basedOn w:val="DefaultParagraphFont"/>
    <w:uiPriority w:val="99"/>
    <w:semiHidden/>
    <w:unhideWhenUsed/>
    <w:rsid w:val="007433E1"/>
    <w:rPr>
      <w:color w:val="605E5C"/>
      <w:shd w:val="clear" w:color="auto" w:fill="E1DFDD"/>
    </w:rPr>
  </w:style>
  <w:style w:type="character" w:customStyle="1" w:styleId="Heading6Char">
    <w:name w:val="Heading 6 Char"/>
    <w:basedOn w:val="DefaultParagraphFont"/>
    <w:link w:val="Heading6"/>
    <w:uiPriority w:val="9"/>
    <w:semiHidden/>
    <w:rsid w:val="001C2415"/>
    <w:rPr>
      <w:rFonts w:asciiTheme="majorHAnsi" w:eastAsiaTheme="majorEastAsia" w:hAnsiTheme="majorHAnsi" w:cstheme="majorBidi"/>
      <w:snapToGrid w:val="0"/>
      <w:color w:val="000000" w:themeColor="accent1" w:themeShade="7F"/>
      <w:szCs w:val="20"/>
    </w:rPr>
  </w:style>
  <w:style w:type="paragraph" w:styleId="BodyTextIndent">
    <w:name w:val="Body Text Indent"/>
    <w:basedOn w:val="Normal"/>
    <w:link w:val="BodyTextIndentChar"/>
    <w:uiPriority w:val="99"/>
    <w:semiHidden/>
    <w:unhideWhenUsed/>
    <w:rsid w:val="001C2415"/>
    <w:pPr>
      <w:spacing w:after="120"/>
      <w:ind w:left="360"/>
    </w:pPr>
  </w:style>
  <w:style w:type="character" w:customStyle="1" w:styleId="BodyTextIndentChar">
    <w:name w:val="Body Text Indent Char"/>
    <w:basedOn w:val="DefaultParagraphFont"/>
    <w:link w:val="BodyTextIndent"/>
    <w:uiPriority w:val="99"/>
    <w:semiHidden/>
    <w:rsid w:val="001C2415"/>
    <w:rPr>
      <w:rFonts w:ascii="Courier" w:eastAsia="Times New Roman" w:hAnsi="Courier" w:cs="Times New Roman"/>
      <w:snapToGrid w:val="0"/>
      <w:szCs w:val="20"/>
    </w:rPr>
  </w:style>
  <w:style w:type="character" w:styleId="PageNumber">
    <w:name w:val="page number"/>
    <w:basedOn w:val="DefaultParagraphFont"/>
    <w:rsid w:val="001C2415"/>
  </w:style>
  <w:style w:type="paragraph" w:styleId="FootnoteText">
    <w:name w:val="footnote text"/>
    <w:basedOn w:val="Normal"/>
    <w:link w:val="FootnoteTextChar"/>
    <w:uiPriority w:val="99"/>
    <w:semiHidden/>
    <w:unhideWhenUsed/>
    <w:rsid w:val="001C2415"/>
    <w:pPr>
      <w:widowControl/>
    </w:pPr>
    <w:rPr>
      <w:rFonts w:ascii="Times New Roman" w:hAnsi="Times New Roman" w:eastAsiaTheme="minorHAnsi" w:cstheme="minorBidi"/>
      <w:snapToGrid/>
      <w:sz w:val="20"/>
    </w:rPr>
  </w:style>
  <w:style w:type="character" w:customStyle="1" w:styleId="FootnoteTextChar">
    <w:name w:val="Footnote Text Char"/>
    <w:basedOn w:val="DefaultParagraphFont"/>
    <w:link w:val="FootnoteText"/>
    <w:uiPriority w:val="99"/>
    <w:semiHidden/>
    <w:rsid w:val="001C2415"/>
    <w:rPr>
      <w:rFonts w:ascii="Times New Roman" w:hAnsi="Times New Roman"/>
      <w:sz w:val="20"/>
      <w:szCs w:val="20"/>
    </w:rPr>
  </w:style>
  <w:style w:type="character" w:styleId="FootnoteReference">
    <w:name w:val="footnote reference"/>
    <w:basedOn w:val="DefaultParagraphFont"/>
    <w:uiPriority w:val="99"/>
    <w:semiHidden/>
    <w:unhideWhenUsed/>
    <w:rsid w:val="001C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1_WGS Default Theme">
  <a:themeElements>
    <a:clrScheme name="WGS Theme Colors">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WGS Theme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IMANAGE!96084608.1</documentid>
  <senderid>WASHIL</senderid>
  <senderemail>LWASHINGTON@WILENTZ.COM</senderemail>
  <lastmodified>2026-06-24T12:29:00.0000000-04:00</lastmodified>
  <database>IMANAGE</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C986-1BEC-4A7A-A06F-93E6EBAA88F6}">
  <ds:schemaRefs>
    <ds:schemaRef ds:uri="http://www.imanage.com/work/xmlschema"/>
  </ds:schemaRefs>
</ds:datastoreItem>
</file>

<file path=customXml/itemProps2.xml><?xml version="1.0" encoding="utf-8"?>
<ds:datastoreItem xmlns:ds="http://schemas.openxmlformats.org/officeDocument/2006/customXml" ds:itemID="{A3C02940-B561-402E-A2ED-B7EA0E49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WGSNormal.dotx</Template>
  <TotalTime>0</TotalTime>
  <Pages>2</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2026-06-24T18:10:27Z</dcterms:created>
  <dcterms:modified xsi:type="dcterms:W3CDTF">2026-06-24T18:10:27Z</dcterms:modified>
</cp:coreProperties>
</file>