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C89C" w14:textId="2F3FA252" w:rsidR="00583543" w:rsidRPr="00A71598" w:rsidRDefault="00C90A0D" w:rsidP="00EB6107">
      <w:pPr>
        <w:spacing w:after="0"/>
        <w:jc w:val="center"/>
        <w:rPr>
          <w:b/>
          <w:bCs/>
        </w:rPr>
      </w:pPr>
      <w:r w:rsidRPr="00A71598">
        <w:rPr>
          <w:b/>
          <w:bCs/>
        </w:rPr>
        <w:t>BOROUGH OF RIVERTON</w:t>
      </w:r>
    </w:p>
    <w:p w14:paraId="46599CA1" w14:textId="2ABDD9C3" w:rsidR="00E65A5F" w:rsidRPr="00A71598" w:rsidRDefault="00E65A5F" w:rsidP="00EB6107">
      <w:pPr>
        <w:spacing w:after="0"/>
        <w:jc w:val="center"/>
        <w:rPr>
          <w:b/>
          <w:bCs/>
        </w:rPr>
      </w:pPr>
      <w:r w:rsidRPr="00A71598">
        <w:rPr>
          <w:b/>
          <w:bCs/>
        </w:rPr>
        <w:t>PUBLIC NOTICE DESIGNATING THE AWARD OF CONTRACTS TO PROFESSIONALS IN COMPLIANCE WITH THE NEW JERSEY PAY TO PLAY STATUTE</w:t>
      </w:r>
    </w:p>
    <w:p w14:paraId="5554A76B" w14:textId="77777777" w:rsidR="00E65A5F" w:rsidRDefault="00E65A5F" w:rsidP="00EB6107">
      <w:pPr>
        <w:spacing w:after="0"/>
        <w:jc w:val="center"/>
      </w:pPr>
    </w:p>
    <w:p w14:paraId="590DAD18" w14:textId="366AC035" w:rsidR="00E65A5F" w:rsidRDefault="00E65A5F" w:rsidP="00E65A5F">
      <w:pPr>
        <w:spacing w:after="0"/>
      </w:pPr>
      <w:r w:rsidRPr="00A71598">
        <w:rPr>
          <w:b/>
          <w:bCs/>
        </w:rPr>
        <w:t>Public notice</w:t>
      </w:r>
      <w:r>
        <w:t xml:space="preserve"> is hereby given that the following Professional Service appointments for</w:t>
      </w:r>
      <w:r w:rsidR="000B6CE4">
        <w:t xml:space="preserve"> th</w:t>
      </w:r>
      <w:r>
        <w:t>e calendar year of 202</w:t>
      </w:r>
      <w:r w:rsidR="00415947">
        <w:t>5</w:t>
      </w:r>
      <w:r>
        <w:t xml:space="preserve"> are hereby made through a Fair and Open Process by the Borough </w:t>
      </w:r>
      <w:r w:rsidR="000B6CE4">
        <w:t xml:space="preserve">of Riverton Mayor and Council at their reorganization meeting held on January </w:t>
      </w:r>
      <w:r w:rsidR="002E5A81">
        <w:t>7</w:t>
      </w:r>
      <w:r w:rsidR="000B6CE4">
        <w:t>, 202</w:t>
      </w:r>
      <w:r w:rsidR="00415947">
        <w:t>5</w:t>
      </w:r>
      <w:r w:rsidR="000B6CE4">
        <w:t>:</w:t>
      </w:r>
    </w:p>
    <w:p w14:paraId="0CBA6E02" w14:textId="0BB25B91" w:rsidR="000B6CE4" w:rsidRDefault="000B6CE4" w:rsidP="00E65A5F">
      <w:pPr>
        <w:spacing w:after="0"/>
      </w:pPr>
    </w:p>
    <w:tbl>
      <w:tblPr>
        <w:tblStyle w:val="TableGrid"/>
        <w:tblW w:w="1107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9450"/>
      </w:tblGrid>
      <w:tr w:rsidR="00A71598" w:rsidRPr="00743AC7" w14:paraId="0406F3BA" w14:textId="77777777" w:rsidTr="00DD6484">
        <w:tc>
          <w:tcPr>
            <w:tcW w:w="1625" w:type="dxa"/>
          </w:tcPr>
          <w:p w14:paraId="0B496D3A" w14:textId="1F284F91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2-2025</w:t>
            </w:r>
          </w:p>
        </w:tc>
        <w:tc>
          <w:tcPr>
            <w:tcW w:w="9450" w:type="dxa"/>
          </w:tcPr>
          <w:p w14:paraId="3EAAB247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Municipal Solicitor contract subject to compliance with Pay-To-Play laws</w:t>
            </w:r>
          </w:p>
          <w:p w14:paraId="1AEFFE99" w14:textId="3586241C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(Thomas J. Coleman, III Esquire)</w:t>
            </w:r>
          </w:p>
        </w:tc>
      </w:tr>
      <w:tr w:rsidR="00A71598" w:rsidRPr="00743AC7" w14:paraId="627C284D" w14:textId="77777777" w:rsidTr="00DD6484">
        <w:tc>
          <w:tcPr>
            <w:tcW w:w="1625" w:type="dxa"/>
          </w:tcPr>
          <w:p w14:paraId="19C0C645" w14:textId="645CD435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2A-2025</w:t>
            </w:r>
          </w:p>
        </w:tc>
        <w:tc>
          <w:tcPr>
            <w:tcW w:w="9450" w:type="dxa"/>
          </w:tcPr>
          <w:p w14:paraId="0A8B0D5C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Borough Engineer contract subject to compliance with Pay-To-Play laws</w:t>
            </w:r>
          </w:p>
          <w:p w14:paraId="2191692A" w14:textId="138C292A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(Alaimo Associates)</w:t>
            </w:r>
          </w:p>
        </w:tc>
      </w:tr>
      <w:tr w:rsidR="00A71598" w:rsidRPr="00743AC7" w14:paraId="03E170C5" w14:textId="77777777" w:rsidTr="0093600C">
        <w:tc>
          <w:tcPr>
            <w:tcW w:w="1625" w:type="dxa"/>
            <w:shd w:val="clear" w:color="auto" w:fill="auto"/>
          </w:tcPr>
          <w:p w14:paraId="50230D14" w14:textId="2C8D5B0C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2B-2025</w:t>
            </w:r>
          </w:p>
        </w:tc>
        <w:tc>
          <w:tcPr>
            <w:tcW w:w="9450" w:type="dxa"/>
            <w:shd w:val="clear" w:color="auto" w:fill="auto"/>
          </w:tcPr>
          <w:p w14:paraId="586CEBBE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Borough Planner contract subject to compliance with Pay-To-Play laws</w:t>
            </w:r>
          </w:p>
          <w:p w14:paraId="4BA7EAA4" w14:textId="659CCD22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(Taylor Design Group, PP, AICP)</w:t>
            </w:r>
          </w:p>
        </w:tc>
      </w:tr>
      <w:tr w:rsidR="00A71598" w:rsidRPr="00743AC7" w14:paraId="21665691" w14:textId="77777777" w:rsidTr="0093600C">
        <w:tc>
          <w:tcPr>
            <w:tcW w:w="1625" w:type="dxa"/>
          </w:tcPr>
          <w:p w14:paraId="7AAFEB36" w14:textId="1E2DEC99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2C-2025</w:t>
            </w:r>
          </w:p>
        </w:tc>
        <w:tc>
          <w:tcPr>
            <w:tcW w:w="9450" w:type="dxa"/>
          </w:tcPr>
          <w:p w14:paraId="6FA3A96F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Wastewater Treatment Plant Engineer contract in compliance with Pay-To-Play laws</w:t>
            </w:r>
          </w:p>
          <w:p w14:paraId="1D2EA46B" w14:textId="4ABFA276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 xml:space="preserve">(Environmental Resolutions, </w:t>
            </w:r>
            <w:r w:rsidR="004E583C">
              <w:rPr>
                <w:rFonts w:cstheme="minorHAnsi"/>
                <w:sz w:val="20"/>
                <w:szCs w:val="20"/>
              </w:rPr>
              <w:t>I</w:t>
            </w:r>
            <w:r w:rsidRPr="00A71598">
              <w:rPr>
                <w:rFonts w:cstheme="minorHAnsi"/>
                <w:sz w:val="20"/>
                <w:szCs w:val="20"/>
              </w:rPr>
              <w:t>nc)</w:t>
            </w:r>
          </w:p>
        </w:tc>
      </w:tr>
      <w:tr w:rsidR="00A71598" w:rsidRPr="00743AC7" w14:paraId="44F589FC" w14:textId="77777777" w:rsidTr="00DD6484">
        <w:tc>
          <w:tcPr>
            <w:tcW w:w="1625" w:type="dxa"/>
          </w:tcPr>
          <w:p w14:paraId="6E13CD44" w14:textId="187D975D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2D-2025</w:t>
            </w:r>
          </w:p>
        </w:tc>
        <w:tc>
          <w:tcPr>
            <w:tcW w:w="9450" w:type="dxa"/>
          </w:tcPr>
          <w:p w14:paraId="05E40CCE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Borough Consulting Engineer contract subject to compliance with Pay-To-Play laws</w:t>
            </w:r>
          </w:p>
          <w:p w14:paraId="630B562B" w14:textId="18CBFC8D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(Environmental Resolution, Inc., [ERI])</w:t>
            </w:r>
          </w:p>
        </w:tc>
      </w:tr>
      <w:tr w:rsidR="00A71598" w:rsidRPr="00743AC7" w14:paraId="5F3DE59D" w14:textId="77777777" w:rsidTr="00DD6484">
        <w:tc>
          <w:tcPr>
            <w:tcW w:w="1625" w:type="dxa"/>
          </w:tcPr>
          <w:p w14:paraId="1ABB64A3" w14:textId="12D650EA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2E-2025</w:t>
            </w:r>
          </w:p>
        </w:tc>
        <w:tc>
          <w:tcPr>
            <w:tcW w:w="9450" w:type="dxa"/>
          </w:tcPr>
          <w:p w14:paraId="4913E61F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Bond Counsel contract subject to compliance with Pay-To-Play laws</w:t>
            </w:r>
          </w:p>
          <w:p w14:paraId="6DB54C52" w14:textId="1B6FFD4B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(Wilentz, Goldman &amp; Spitzer)</w:t>
            </w:r>
          </w:p>
        </w:tc>
      </w:tr>
      <w:tr w:rsidR="00A71598" w:rsidRPr="00743AC7" w14:paraId="3D9AB0A0" w14:textId="77777777" w:rsidTr="00DD6484">
        <w:trPr>
          <w:trHeight w:val="70"/>
        </w:trPr>
        <w:tc>
          <w:tcPr>
            <w:tcW w:w="1625" w:type="dxa"/>
          </w:tcPr>
          <w:p w14:paraId="649EB3BD" w14:textId="7ED7C15B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2F-2025</w:t>
            </w:r>
          </w:p>
        </w:tc>
        <w:tc>
          <w:tcPr>
            <w:tcW w:w="9450" w:type="dxa"/>
          </w:tcPr>
          <w:p w14:paraId="45C2F424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Labor and Police Matters Council contract subject to compliance with Pay-To-Play laws</w:t>
            </w:r>
          </w:p>
          <w:p w14:paraId="527A6C54" w14:textId="631CE8AF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(Stephen Raymond, esq)</w:t>
            </w:r>
          </w:p>
        </w:tc>
      </w:tr>
      <w:tr w:rsidR="00A71598" w:rsidRPr="00743AC7" w14:paraId="61A955C3" w14:textId="77777777" w:rsidTr="00DD6484">
        <w:tc>
          <w:tcPr>
            <w:tcW w:w="1625" w:type="dxa"/>
          </w:tcPr>
          <w:p w14:paraId="7276C95B" w14:textId="0A8D0FF8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2G-2025</w:t>
            </w:r>
          </w:p>
        </w:tc>
        <w:tc>
          <w:tcPr>
            <w:tcW w:w="9450" w:type="dxa"/>
          </w:tcPr>
          <w:p w14:paraId="0376E4F8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Municipal Auditor contract subject to compliance with Pay-To-Play laws</w:t>
            </w:r>
          </w:p>
          <w:p w14:paraId="6FD88D15" w14:textId="033ABC5D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(Robert Inverso, Inverso &amp; Stewart, LLC)</w:t>
            </w:r>
          </w:p>
        </w:tc>
      </w:tr>
      <w:tr w:rsidR="00A71598" w:rsidRPr="00743AC7" w14:paraId="2275425A" w14:textId="77777777" w:rsidTr="00DD6484">
        <w:tc>
          <w:tcPr>
            <w:tcW w:w="1625" w:type="dxa"/>
          </w:tcPr>
          <w:p w14:paraId="384C12DA" w14:textId="118C52C5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2H-2025</w:t>
            </w:r>
          </w:p>
        </w:tc>
        <w:tc>
          <w:tcPr>
            <w:tcW w:w="9450" w:type="dxa"/>
          </w:tcPr>
          <w:p w14:paraId="49DCA253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Municipal Animal Control Officer contract subject to compliance with Pay-To-Play laws</w:t>
            </w:r>
          </w:p>
          <w:p w14:paraId="039C6903" w14:textId="304C3022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(New Jersey Animal Control)</w:t>
            </w:r>
          </w:p>
        </w:tc>
      </w:tr>
      <w:tr w:rsidR="00A71598" w:rsidRPr="00743AC7" w14:paraId="16D6DCB1" w14:textId="77777777" w:rsidTr="00DD6484">
        <w:tc>
          <w:tcPr>
            <w:tcW w:w="1625" w:type="dxa"/>
          </w:tcPr>
          <w:p w14:paraId="077F3B42" w14:textId="11405798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2I-2025</w:t>
            </w:r>
          </w:p>
        </w:tc>
        <w:tc>
          <w:tcPr>
            <w:tcW w:w="9450" w:type="dxa"/>
          </w:tcPr>
          <w:p w14:paraId="31840CB7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Municipal Insurance Broker contract subject to compliance with Pay-To-Play laws</w:t>
            </w:r>
          </w:p>
          <w:p w14:paraId="2459747E" w14:textId="31E8900A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(The Barclay Group)</w:t>
            </w:r>
          </w:p>
        </w:tc>
      </w:tr>
      <w:tr w:rsidR="00A71598" w:rsidRPr="00743AC7" w14:paraId="3158397D" w14:textId="77777777" w:rsidTr="00DD6484">
        <w:tc>
          <w:tcPr>
            <w:tcW w:w="1625" w:type="dxa"/>
          </w:tcPr>
          <w:p w14:paraId="4BDD40C0" w14:textId="5F639BEF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2J-2025</w:t>
            </w:r>
          </w:p>
        </w:tc>
        <w:tc>
          <w:tcPr>
            <w:tcW w:w="9450" w:type="dxa"/>
          </w:tcPr>
          <w:p w14:paraId="4A828B9C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Borough Stormwater Engineer contract subject to compliance with Pay-To-Play laws</w:t>
            </w:r>
          </w:p>
          <w:p w14:paraId="50D909C2" w14:textId="0D32ADC0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71598">
              <w:rPr>
                <w:rFonts w:cstheme="minorHAnsi"/>
                <w:sz w:val="20"/>
                <w:szCs w:val="20"/>
              </w:rPr>
              <w:t>(Environmental Resolutions, Inc]</w:t>
            </w:r>
          </w:p>
        </w:tc>
      </w:tr>
      <w:tr w:rsidR="00A71598" w:rsidRPr="00743AC7" w14:paraId="16CC0A4D" w14:textId="77777777" w:rsidTr="00DD6484">
        <w:tc>
          <w:tcPr>
            <w:tcW w:w="1625" w:type="dxa"/>
          </w:tcPr>
          <w:p w14:paraId="7C2BFAE4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2K-2025</w:t>
            </w:r>
          </w:p>
          <w:p w14:paraId="3E450353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</w:p>
          <w:p w14:paraId="789D62C9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2L-2025</w:t>
            </w:r>
          </w:p>
          <w:p w14:paraId="48E3BED7" w14:textId="77777777" w:rsidR="00A71598" w:rsidRPr="00A71598" w:rsidRDefault="00A71598" w:rsidP="00DD6484">
            <w:pPr>
              <w:rPr>
                <w:rFonts w:cstheme="minorHAnsi"/>
                <w:sz w:val="20"/>
                <w:szCs w:val="20"/>
              </w:rPr>
            </w:pPr>
          </w:p>
          <w:p w14:paraId="20A22B02" w14:textId="641D27D4" w:rsidR="00A71598" w:rsidRPr="00A71598" w:rsidRDefault="00A71598" w:rsidP="00DD6484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A71598">
              <w:rPr>
                <w:rFonts w:cstheme="minorHAnsi"/>
                <w:sz w:val="20"/>
                <w:szCs w:val="20"/>
              </w:rPr>
              <w:t>Res. #</w:t>
            </w:r>
            <w:proofErr w:type="gramEnd"/>
            <w:r w:rsidRPr="00A71598">
              <w:rPr>
                <w:rFonts w:cstheme="minorHAnsi"/>
                <w:sz w:val="20"/>
                <w:szCs w:val="20"/>
              </w:rPr>
              <w:t>2M-2025</w:t>
            </w:r>
          </w:p>
        </w:tc>
        <w:tc>
          <w:tcPr>
            <w:tcW w:w="9450" w:type="dxa"/>
          </w:tcPr>
          <w:p w14:paraId="5537B4B4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a Certified Lead Based Paint Inspector in Compliance with P.L. 2021, c. 182</w:t>
            </w:r>
          </w:p>
          <w:p w14:paraId="551C2E50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(Bay Hill Environmental)</w:t>
            </w:r>
          </w:p>
          <w:p w14:paraId="3529937F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Wastewater Operator contract subject to compliance with Pay-To-Play laws</w:t>
            </w:r>
          </w:p>
          <w:p w14:paraId="170C4036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(Deblock)</w:t>
            </w:r>
          </w:p>
          <w:p w14:paraId="4C081F9F" w14:textId="77777777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>Appointing the Grant Writer contract subject to compliance with Pay-To-Play laws</w:t>
            </w:r>
          </w:p>
          <w:p w14:paraId="4B1F9CB8" w14:textId="6EB205F4" w:rsidR="00A71598" w:rsidRPr="00A71598" w:rsidRDefault="00A71598" w:rsidP="00DD648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598">
              <w:rPr>
                <w:rFonts w:cstheme="minorHAnsi"/>
                <w:sz w:val="20"/>
                <w:szCs w:val="20"/>
              </w:rPr>
              <w:t xml:space="preserve"> (CPG&amp;H)</w:t>
            </w:r>
          </w:p>
        </w:tc>
      </w:tr>
      <w:tr w:rsidR="00A71598" w:rsidRPr="00743AC7" w14:paraId="4AA8C07A" w14:textId="77777777" w:rsidTr="00DD6484">
        <w:tc>
          <w:tcPr>
            <w:tcW w:w="1625" w:type="dxa"/>
          </w:tcPr>
          <w:p w14:paraId="43AF24FB" w14:textId="606BD3BD" w:rsidR="00A71598" w:rsidRPr="00743AC7" w:rsidRDefault="00A71598" w:rsidP="00DD64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50" w:type="dxa"/>
          </w:tcPr>
          <w:p w14:paraId="6CCB3478" w14:textId="5B622D2C" w:rsidR="00A71598" w:rsidRPr="00743AC7" w:rsidRDefault="00A71598" w:rsidP="00DD648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BFCD099" w14:textId="77777777" w:rsidR="00752D96" w:rsidRDefault="00752D96" w:rsidP="00E65A5F">
      <w:pPr>
        <w:spacing w:after="0"/>
      </w:pPr>
    </w:p>
    <w:p w14:paraId="7FFE7DBB" w14:textId="15902314" w:rsidR="00752D96" w:rsidRDefault="00752D96" w:rsidP="00E65A5F">
      <w:pPr>
        <w:spacing w:after="0"/>
      </w:pPr>
      <w:r>
        <w:t xml:space="preserve">THESE CONTRACTS, INCLUDING ALL </w:t>
      </w:r>
      <w:r w:rsidR="00CD1102">
        <w:t>COSTS,</w:t>
      </w:r>
      <w:r>
        <w:t xml:space="preserve"> ARE READILY AVAILABLE IN THE CLERK’S OFFICE FOR PUBLIC INSPECTION by appointments only</w:t>
      </w:r>
      <w:r w:rsidR="00CD1102">
        <w:t xml:space="preserve">. </w:t>
      </w:r>
      <w:r>
        <w:t>Please call the Office of the Borough Clerk to arrange inspection at 856-829-0120.</w:t>
      </w:r>
    </w:p>
    <w:p w14:paraId="464D0D90" w14:textId="7D53555C" w:rsidR="00752D96" w:rsidRDefault="00752D96" w:rsidP="00E65A5F">
      <w:pPr>
        <w:spacing w:after="0"/>
      </w:pPr>
      <w:r>
        <w:t>ATTEST: Kelly Andrews, RMC, Borough Clerk</w:t>
      </w:r>
    </w:p>
    <w:sectPr w:rsidR="0075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0D"/>
    <w:rsid w:val="000364AA"/>
    <w:rsid w:val="00050473"/>
    <w:rsid w:val="00085144"/>
    <w:rsid w:val="000B6CE4"/>
    <w:rsid w:val="000E3A6E"/>
    <w:rsid w:val="00107188"/>
    <w:rsid w:val="0019050E"/>
    <w:rsid w:val="0019579B"/>
    <w:rsid w:val="00217439"/>
    <w:rsid w:val="00230430"/>
    <w:rsid w:val="00282062"/>
    <w:rsid w:val="002A5567"/>
    <w:rsid w:val="002B20F1"/>
    <w:rsid w:val="002B62BF"/>
    <w:rsid w:val="002D30C7"/>
    <w:rsid w:val="002E5A81"/>
    <w:rsid w:val="003322C8"/>
    <w:rsid w:val="00341E02"/>
    <w:rsid w:val="00365601"/>
    <w:rsid w:val="003D0465"/>
    <w:rsid w:val="0040289F"/>
    <w:rsid w:val="00415947"/>
    <w:rsid w:val="004E583C"/>
    <w:rsid w:val="004F33AC"/>
    <w:rsid w:val="00583543"/>
    <w:rsid w:val="005F55B1"/>
    <w:rsid w:val="00684ABA"/>
    <w:rsid w:val="006C22D9"/>
    <w:rsid w:val="00742472"/>
    <w:rsid w:val="00752D96"/>
    <w:rsid w:val="00773940"/>
    <w:rsid w:val="007D220A"/>
    <w:rsid w:val="00854C72"/>
    <w:rsid w:val="00905480"/>
    <w:rsid w:val="009306D0"/>
    <w:rsid w:val="009970A2"/>
    <w:rsid w:val="00A3192C"/>
    <w:rsid w:val="00A334B1"/>
    <w:rsid w:val="00A71598"/>
    <w:rsid w:val="00BA3888"/>
    <w:rsid w:val="00C1755B"/>
    <w:rsid w:val="00C90A0D"/>
    <w:rsid w:val="00CD1102"/>
    <w:rsid w:val="00D97DB0"/>
    <w:rsid w:val="00DC6246"/>
    <w:rsid w:val="00E44865"/>
    <w:rsid w:val="00E65A5F"/>
    <w:rsid w:val="00EB6107"/>
    <w:rsid w:val="00EC5222"/>
    <w:rsid w:val="00FB3A3B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E740"/>
  <w15:chartTrackingRefBased/>
  <w15:docId w15:val="{6116DA7F-2F1E-4362-80C5-6FC6509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8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FE2E-D8D6-4517-B905-6E0A2E6E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Andrews</dc:creator>
  <cp:keywords/>
  <dc:description/>
  <cp:lastModifiedBy>Kelly Andrews</cp:lastModifiedBy>
  <cp:revision>7</cp:revision>
  <dcterms:created xsi:type="dcterms:W3CDTF">2024-12-31T14:58:00Z</dcterms:created>
  <dcterms:modified xsi:type="dcterms:W3CDTF">2025-01-08T20:57:00Z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2024-12-31T14:53:10Z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07657952-67f0-42e2-817f-b697f5b938c9</vt:lpwstr>
  </property>
  <property fmtid="{D5CDD505-2E9C-101B-9397-08002B2CF9AE}" pid="7" name="MSIP_Label_defa4170-0d19-0005-0004-bc88714345d2_ActionId">
    <vt:lpwstr>fee876ce-0e10-4823-acc3-7ae06b89b8bd</vt:lpwstr>
  </property>
  <property fmtid="{D5CDD505-2E9C-101B-9397-08002B2CF9AE}" pid="8" name="MSIP_Label_defa4170-0d19-0005-0004-bc88714345d2_ContentBits">
    <vt:lpwstr>0</vt:lpwstr>
  </property>
</Properties>
</file>